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1F9" w:rsidRPr="003565EB" w:rsidRDefault="003F21F9" w:rsidP="003F21F9">
      <w:pPr>
        <w:spacing w:before="100" w:beforeAutospacing="1" w:after="100" w:afterAutospacing="1" w:line="360" w:lineRule="auto"/>
        <w:jc w:val="both"/>
        <w:rPr>
          <w:rFonts w:ascii="Palatino Linotype" w:hAnsi="Palatino Linotype" w:cs="Arial"/>
        </w:rPr>
      </w:pPr>
      <w:r w:rsidRPr="003565EB">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diez de abril de dos mil diecinueve</w:t>
      </w:r>
      <w:r w:rsidRPr="003565EB">
        <w:rPr>
          <w:rFonts w:ascii="Palatino Linotype" w:hAnsi="Palatino Linotype" w:cs="Arial"/>
        </w:rPr>
        <w:t>.</w:t>
      </w:r>
    </w:p>
    <w:p w:rsidR="003F21F9" w:rsidRPr="003565EB" w:rsidRDefault="003F21F9" w:rsidP="003F21F9">
      <w:pPr>
        <w:spacing w:before="100" w:beforeAutospacing="1" w:after="100" w:afterAutospacing="1" w:line="360" w:lineRule="auto"/>
        <w:jc w:val="both"/>
        <w:rPr>
          <w:rFonts w:ascii="Palatino Linotype" w:hAnsi="Palatino Linotype"/>
          <w:b/>
          <w:lang w:val="es-ES_tradnl"/>
        </w:rPr>
      </w:pPr>
      <w:r w:rsidRPr="003565EB">
        <w:rPr>
          <w:rFonts w:ascii="Palatino Linotype" w:hAnsi="Palatino Linotype" w:cs="Arial"/>
        </w:rPr>
        <w:t xml:space="preserve">VISTO el expediente </w:t>
      </w:r>
      <w:r w:rsidRPr="003565EB">
        <w:rPr>
          <w:rFonts w:ascii="Palatino Linotype" w:hAnsi="Palatino Linotype"/>
        </w:rPr>
        <w:t>formado</w:t>
      </w:r>
      <w:r w:rsidRPr="003565EB">
        <w:rPr>
          <w:rFonts w:ascii="Palatino Linotype" w:hAnsi="Palatino Linotype" w:cs="Arial"/>
        </w:rPr>
        <w:t xml:space="preserve"> con motivo del recurso de revisión </w:t>
      </w:r>
      <w:r w:rsidRPr="003565EB">
        <w:rPr>
          <w:rFonts w:ascii="Palatino Linotype" w:hAnsi="Palatino Linotype" w:cs="Arial"/>
          <w:b/>
        </w:rPr>
        <w:t xml:space="preserve"> 00822/INFOEM/IP/RR/2019</w:t>
      </w:r>
      <w:r w:rsidRPr="003565EB">
        <w:rPr>
          <w:rFonts w:ascii="Palatino Linotype" w:hAnsi="Palatino Linotype" w:cs="Arial"/>
        </w:rPr>
        <w:t xml:space="preserve">, promovido por la </w:t>
      </w:r>
      <w:r w:rsidRPr="003565EB">
        <w:rPr>
          <w:rFonts w:ascii="Palatino Linotype" w:hAnsi="Palatino Linotype" w:cs="Arial"/>
          <w:b/>
        </w:rPr>
        <w:t xml:space="preserve">C. </w:t>
      </w:r>
      <w:r w:rsidR="00B60B3A" w:rsidRPr="00B60B3A">
        <w:rPr>
          <w:rFonts w:ascii="Palatino Linotype" w:hAnsi="Palatino Linotype"/>
          <w:b/>
          <w:lang w:val="es-ES_tradnl"/>
        </w:rPr>
        <w:t>XXXXXXX XXXX</w:t>
      </w:r>
      <w:r w:rsidRPr="003565EB">
        <w:rPr>
          <w:rFonts w:ascii="Palatino Linotype" w:hAnsi="Palatino Linotype" w:cs="Arial"/>
        </w:rPr>
        <w:t xml:space="preserve">, en lo sucesivo </w:t>
      </w:r>
      <w:r w:rsidRPr="003565EB">
        <w:rPr>
          <w:rFonts w:ascii="Palatino Linotype" w:hAnsi="Palatino Linotype" w:cs="Arial"/>
          <w:b/>
        </w:rPr>
        <w:t>LA RECURRENTE</w:t>
      </w:r>
      <w:r w:rsidRPr="003565EB">
        <w:rPr>
          <w:rFonts w:ascii="Palatino Linotype" w:hAnsi="Palatino Linotype" w:cs="Arial"/>
        </w:rPr>
        <w:t xml:space="preserve">, en contra de la respuesta del </w:t>
      </w:r>
      <w:r w:rsidRPr="003565EB">
        <w:rPr>
          <w:rFonts w:ascii="Palatino Linotype" w:hAnsi="Palatino Linotype"/>
          <w:b/>
          <w:lang w:val="es-ES_tradnl"/>
        </w:rPr>
        <w:t xml:space="preserve">Ayuntamiento de Metepec, </w:t>
      </w:r>
      <w:r w:rsidRPr="003565EB">
        <w:rPr>
          <w:rFonts w:ascii="Palatino Linotype" w:hAnsi="Palatino Linotype" w:cs="Arial"/>
        </w:rPr>
        <w:t xml:space="preserve">en lo conducente </w:t>
      </w:r>
      <w:r w:rsidRPr="003565EB">
        <w:rPr>
          <w:rFonts w:ascii="Palatino Linotype" w:hAnsi="Palatino Linotype" w:cs="Arial"/>
          <w:b/>
        </w:rPr>
        <w:t>EL SUJETO OBLIGADO</w:t>
      </w:r>
      <w:r w:rsidRPr="003565EB">
        <w:rPr>
          <w:rFonts w:ascii="Palatino Linotype" w:hAnsi="Palatino Linotype" w:cs="Arial"/>
        </w:rPr>
        <w:t>, se procede a dictar la presente resolución, con base en el siguiente:</w:t>
      </w:r>
    </w:p>
    <w:p w:rsidR="003F21F9" w:rsidRPr="003565EB" w:rsidRDefault="003F21F9" w:rsidP="003F21F9">
      <w:pPr>
        <w:spacing w:before="100" w:beforeAutospacing="1" w:after="100" w:afterAutospacing="1" w:line="360" w:lineRule="auto"/>
        <w:jc w:val="center"/>
        <w:rPr>
          <w:rFonts w:ascii="Palatino Linotype" w:hAnsi="Palatino Linotype" w:cs="Arial"/>
          <w:b/>
          <w:spacing w:val="50"/>
          <w:sz w:val="28"/>
        </w:rPr>
      </w:pPr>
      <w:r w:rsidRPr="003565EB">
        <w:rPr>
          <w:rFonts w:ascii="Palatino Linotype" w:hAnsi="Palatino Linotype" w:cs="Arial"/>
          <w:b/>
          <w:spacing w:val="50"/>
          <w:sz w:val="28"/>
        </w:rPr>
        <w:t>RESULTANDO</w:t>
      </w:r>
    </w:p>
    <w:p w:rsidR="003F21F9" w:rsidRPr="003565EB" w:rsidRDefault="003F21F9" w:rsidP="003F21F9">
      <w:pPr>
        <w:spacing w:before="100" w:beforeAutospacing="1" w:after="100" w:afterAutospacing="1" w:line="360" w:lineRule="auto"/>
        <w:jc w:val="both"/>
        <w:rPr>
          <w:rFonts w:ascii="Palatino Linotype" w:hAnsi="Palatino Linotype"/>
          <w:bCs/>
        </w:rPr>
      </w:pPr>
      <w:r w:rsidRPr="003565EB">
        <w:rPr>
          <w:rFonts w:ascii="Palatino Linotype" w:hAnsi="Palatino Linotype"/>
          <w:b/>
          <w:sz w:val="28"/>
          <w:szCs w:val="28"/>
        </w:rPr>
        <w:t>I.</w:t>
      </w:r>
      <w:r w:rsidRPr="003565EB">
        <w:rPr>
          <w:rFonts w:ascii="Palatino Linotype" w:hAnsi="Palatino Linotype"/>
        </w:rPr>
        <w:t xml:space="preserve"> En fecha veinticinco de enero de dos mil diecinueve, </w:t>
      </w:r>
      <w:r w:rsidRPr="003565EB">
        <w:rPr>
          <w:rFonts w:ascii="Palatino Linotype" w:hAnsi="Palatino Linotype" w:cs="Arial"/>
          <w:b/>
        </w:rPr>
        <w:t>LA RECURRENTE</w:t>
      </w:r>
      <w:r w:rsidRPr="003565EB">
        <w:rPr>
          <w:rFonts w:ascii="Palatino Linotype" w:hAnsi="Palatino Linotype"/>
        </w:rPr>
        <w:t>, presentó a través del Sistema de Acceso a la Información Mexiquense, en lo subsecuente el</w:t>
      </w:r>
      <w:r w:rsidRPr="003565EB">
        <w:rPr>
          <w:rFonts w:ascii="Palatino Linotype" w:hAnsi="Palatino Linotype"/>
          <w:b/>
        </w:rPr>
        <w:t xml:space="preserve"> SAIMEX</w:t>
      </w:r>
      <w:r w:rsidRPr="003565EB">
        <w:rPr>
          <w:rFonts w:ascii="Palatino Linotype" w:hAnsi="Palatino Linotype"/>
        </w:rPr>
        <w:t xml:space="preserve"> ante </w:t>
      </w:r>
      <w:r w:rsidRPr="003565EB">
        <w:rPr>
          <w:rFonts w:ascii="Palatino Linotype" w:hAnsi="Palatino Linotype"/>
          <w:b/>
        </w:rPr>
        <w:t>EL SUJETO OBLIGADO</w:t>
      </w:r>
      <w:r w:rsidRPr="003565EB">
        <w:rPr>
          <w:rFonts w:ascii="Palatino Linotype" w:hAnsi="Palatino Linotype"/>
        </w:rPr>
        <w:t xml:space="preserve">, la solicitud de acceso a información pública, a la que se le asignó el número </w:t>
      </w:r>
      <w:r w:rsidRPr="003565EB">
        <w:rPr>
          <w:rFonts w:ascii="Palatino Linotype" w:hAnsi="Palatino Linotype"/>
          <w:b/>
          <w:bCs/>
        </w:rPr>
        <w:t>00028/METEPEC/IP/2019</w:t>
      </w:r>
      <w:r w:rsidRPr="003565EB">
        <w:rPr>
          <w:rFonts w:ascii="Palatino Linotype" w:hAnsi="Palatino Linotype"/>
          <w:bCs/>
        </w:rPr>
        <w:t>,</w:t>
      </w:r>
      <w:r w:rsidRPr="003565EB">
        <w:rPr>
          <w:rFonts w:ascii="Palatino Linotype" w:hAnsi="Palatino Linotype"/>
          <w:b/>
          <w:bCs/>
        </w:rPr>
        <w:t xml:space="preserve"> </w:t>
      </w:r>
      <w:r w:rsidRPr="003565EB">
        <w:rPr>
          <w:rFonts w:ascii="Palatino Linotype" w:hAnsi="Palatino Linotype"/>
          <w:bCs/>
        </w:rPr>
        <w:t>a través de la cual requirió:</w:t>
      </w:r>
    </w:p>
    <w:p w:rsidR="003F21F9" w:rsidRPr="003565EB" w:rsidRDefault="003F21F9" w:rsidP="003F21F9">
      <w:pPr>
        <w:ind w:left="851" w:right="902"/>
        <w:jc w:val="both"/>
        <w:rPr>
          <w:rFonts w:ascii="Palatino Linotype" w:hAnsi="Palatino Linotype"/>
          <w:i/>
          <w:color w:val="000000"/>
          <w:sz w:val="22"/>
          <w:szCs w:val="22"/>
        </w:rPr>
      </w:pPr>
      <w:r w:rsidRPr="003565EB">
        <w:rPr>
          <w:rFonts w:ascii="Palatino Linotype" w:hAnsi="Palatino Linotype"/>
          <w:i/>
          <w:color w:val="000000"/>
          <w:sz w:val="22"/>
          <w:szCs w:val="22"/>
        </w:rPr>
        <w:t>“Solicito su apoyo para que se me indique donde puedo consultar todas y cada una de las actas de entrega recepción que se realizaron en todas las dependencias del Ayuntamiento de Metepec, del primero de enero del año en curso y hasta la fecha, de directores, subdirectores, jefes de departamento, ya sea como titulares, encargados o responsables de área entrantes, es decir de todos aquellos que causaron alta y tienen un cargo de acuerdo a el organigrama autorizado y actualizado por la Dirección de Administración y Gobierno por Resultados.” (Sic)</w:t>
      </w:r>
    </w:p>
    <w:p w:rsidR="003F21F9" w:rsidRPr="003565EB" w:rsidRDefault="003F21F9" w:rsidP="003F21F9">
      <w:pPr>
        <w:spacing w:before="100" w:beforeAutospacing="1" w:after="100" w:afterAutospacing="1" w:line="360" w:lineRule="auto"/>
        <w:ind w:right="616"/>
        <w:jc w:val="both"/>
        <w:rPr>
          <w:rFonts w:ascii="Palatino Linotype" w:hAnsi="Palatino Linotype"/>
        </w:rPr>
      </w:pPr>
      <w:r w:rsidRPr="003565EB">
        <w:rPr>
          <w:rFonts w:ascii="Palatino Linotype" w:hAnsi="Palatino Linotype"/>
          <w:b/>
        </w:rPr>
        <w:t>Modalidad de Entrega:</w:t>
      </w:r>
      <w:r w:rsidRPr="003565EB">
        <w:rPr>
          <w:rFonts w:ascii="Palatino Linotype" w:hAnsi="Palatino Linotype"/>
        </w:rPr>
        <w:t xml:space="preserve"> vía el </w:t>
      </w:r>
      <w:r w:rsidRPr="003565EB">
        <w:rPr>
          <w:rFonts w:ascii="Palatino Linotype" w:hAnsi="Palatino Linotype"/>
          <w:b/>
        </w:rPr>
        <w:t>SAIMEX</w:t>
      </w:r>
      <w:r w:rsidRPr="003565EB">
        <w:rPr>
          <w:rFonts w:ascii="Palatino Linotype" w:hAnsi="Palatino Linotype"/>
        </w:rPr>
        <w:t>.</w:t>
      </w:r>
    </w:p>
    <w:p w:rsidR="003F21F9" w:rsidRPr="003565EB" w:rsidRDefault="003F21F9" w:rsidP="003F21F9">
      <w:pPr>
        <w:spacing w:before="100" w:beforeAutospacing="1" w:after="100" w:afterAutospacing="1" w:line="360" w:lineRule="auto"/>
        <w:jc w:val="both"/>
        <w:rPr>
          <w:rFonts w:ascii="Palatino Linotype" w:hAnsi="Palatino Linotype"/>
        </w:rPr>
      </w:pPr>
      <w:r w:rsidRPr="003565EB">
        <w:rPr>
          <w:rFonts w:ascii="Palatino Linotype" w:hAnsi="Palatino Linotype"/>
          <w:b/>
          <w:sz w:val="28"/>
          <w:szCs w:val="28"/>
        </w:rPr>
        <w:t>II.</w:t>
      </w:r>
      <w:r w:rsidRPr="003565EB">
        <w:rPr>
          <w:rFonts w:ascii="Palatino Linotype" w:hAnsi="Palatino Linotype"/>
          <w:b/>
        </w:rPr>
        <w:t xml:space="preserve"> </w:t>
      </w:r>
      <w:r w:rsidRPr="003565EB">
        <w:rPr>
          <w:rFonts w:ascii="Palatino Linotype" w:hAnsi="Palatino Linotype"/>
        </w:rPr>
        <w:t>Con base en el detalle de seguimiento del</w:t>
      </w:r>
      <w:r w:rsidRPr="003565EB">
        <w:rPr>
          <w:rFonts w:ascii="Palatino Linotype" w:hAnsi="Palatino Linotype"/>
          <w:b/>
        </w:rPr>
        <w:t xml:space="preserve"> SAIMEX</w:t>
      </w:r>
      <w:r w:rsidRPr="003565EB">
        <w:rPr>
          <w:rFonts w:ascii="Palatino Linotype" w:hAnsi="Palatino Linotype"/>
        </w:rPr>
        <w:t>, se advierte que</w:t>
      </w:r>
      <w:r w:rsidR="00245B56" w:rsidRPr="003565EB">
        <w:rPr>
          <w:rFonts w:ascii="Palatino Linotype" w:hAnsi="Palatino Linotype"/>
        </w:rPr>
        <w:t>,</w:t>
      </w:r>
      <w:r w:rsidRPr="003565EB">
        <w:rPr>
          <w:rFonts w:ascii="Palatino Linotype" w:hAnsi="Palatino Linotype"/>
        </w:rPr>
        <w:t xml:space="preserve"> en fecha once de febrero de dos mil diecinueve, la Unidad de Transparencia del</w:t>
      </w:r>
      <w:r w:rsidRPr="003565EB">
        <w:rPr>
          <w:rFonts w:ascii="Palatino Linotype" w:hAnsi="Palatino Linotype"/>
          <w:b/>
        </w:rPr>
        <w:t xml:space="preserve"> SUJETO </w:t>
      </w:r>
      <w:r w:rsidRPr="003565EB">
        <w:rPr>
          <w:rFonts w:ascii="Palatino Linotype" w:hAnsi="Palatino Linotype"/>
          <w:b/>
        </w:rPr>
        <w:lastRenderedPageBreak/>
        <w:t xml:space="preserve">OBLIGADO </w:t>
      </w:r>
      <w:r w:rsidRPr="003565EB">
        <w:rPr>
          <w:rFonts w:ascii="Palatino Linotype" w:hAnsi="Palatino Linotype"/>
        </w:rPr>
        <w:t>turnó mediante requerimientos, el contenido de la solicitud de información al Servidor Público Habilitado, que consideró competentes</w:t>
      </w:r>
      <w:r w:rsidR="00245B56" w:rsidRPr="003565EB">
        <w:rPr>
          <w:rFonts w:ascii="Palatino Linotype" w:hAnsi="Palatino Linotype"/>
        </w:rPr>
        <w:t>,</w:t>
      </w:r>
      <w:r w:rsidRPr="003565EB">
        <w:rPr>
          <w:rFonts w:ascii="Palatino Linotype" w:hAnsi="Palatino Linotype"/>
        </w:rPr>
        <w:t xml:space="preserve"> a efecto de que realizara la búsqueda y localización de la información</w:t>
      </w:r>
      <w:r w:rsidR="00245B56" w:rsidRPr="003565EB">
        <w:rPr>
          <w:rFonts w:ascii="Palatino Linotype" w:hAnsi="Palatino Linotype"/>
        </w:rPr>
        <w:t>;</w:t>
      </w:r>
      <w:r w:rsidRPr="003565EB">
        <w:rPr>
          <w:rFonts w:ascii="Palatino Linotype" w:hAnsi="Palatino Linotype"/>
        </w:rPr>
        <w:t xml:space="preserve"> tal y como</w:t>
      </w:r>
      <w:r w:rsidR="00245B56" w:rsidRPr="003565EB">
        <w:rPr>
          <w:rFonts w:ascii="Palatino Linotype" w:hAnsi="Palatino Linotype"/>
        </w:rPr>
        <w:t>,</w:t>
      </w:r>
      <w:r w:rsidRPr="003565EB">
        <w:rPr>
          <w:rFonts w:ascii="Palatino Linotype" w:hAnsi="Palatino Linotype"/>
        </w:rPr>
        <w:t xml:space="preserve"> se desprende de la imagen siguiente:</w:t>
      </w:r>
    </w:p>
    <w:p w:rsidR="003F21F9" w:rsidRPr="003565EB" w:rsidRDefault="003F21F9" w:rsidP="003F21F9">
      <w:pPr>
        <w:spacing w:before="100" w:beforeAutospacing="1" w:after="100" w:afterAutospacing="1" w:line="360" w:lineRule="auto"/>
        <w:jc w:val="center"/>
        <w:rPr>
          <w:rFonts w:ascii="Palatino Linotype" w:hAnsi="Palatino Linotype"/>
          <w:b/>
        </w:rPr>
      </w:pPr>
      <w:r w:rsidRPr="003565EB">
        <w:rPr>
          <w:noProof/>
          <w:lang w:eastAsia="es-MX"/>
        </w:rPr>
        <w:drawing>
          <wp:inline distT="0" distB="0" distL="0" distR="0" wp14:anchorId="4A9CFB0B" wp14:editId="68E1B3C0">
            <wp:extent cx="5149941" cy="6546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77" t="39816" r="10811" b="49914"/>
                    <a:stretch/>
                  </pic:blipFill>
                  <pic:spPr bwMode="auto">
                    <a:xfrm>
                      <a:off x="0" y="0"/>
                      <a:ext cx="5268664" cy="669778"/>
                    </a:xfrm>
                    <a:prstGeom prst="rect">
                      <a:avLst/>
                    </a:prstGeom>
                    <a:ln>
                      <a:noFill/>
                    </a:ln>
                    <a:extLst>
                      <a:ext uri="{53640926-AAD7-44D8-BBD7-CCE9431645EC}">
                        <a14:shadowObscured xmlns:a14="http://schemas.microsoft.com/office/drawing/2010/main"/>
                      </a:ext>
                    </a:extLst>
                  </pic:spPr>
                </pic:pic>
              </a:graphicData>
            </a:graphic>
          </wp:inline>
        </w:drawing>
      </w:r>
    </w:p>
    <w:p w:rsidR="00ED15A2" w:rsidRPr="003565EB" w:rsidRDefault="003F21F9" w:rsidP="00ED15A2">
      <w:pPr>
        <w:spacing w:before="100" w:beforeAutospacing="1" w:after="100" w:afterAutospacing="1" w:line="360" w:lineRule="auto"/>
        <w:jc w:val="both"/>
        <w:rPr>
          <w:rFonts w:ascii="Palatino Linotype" w:hAnsi="Palatino Linotype" w:cs="Arial"/>
        </w:rPr>
      </w:pPr>
      <w:r w:rsidRPr="003565EB">
        <w:rPr>
          <w:rFonts w:ascii="Palatino Linotype" w:hAnsi="Palatino Linotype"/>
          <w:b/>
          <w:sz w:val="28"/>
          <w:szCs w:val="28"/>
        </w:rPr>
        <w:t>III.</w:t>
      </w:r>
      <w:r w:rsidRPr="003565EB">
        <w:rPr>
          <w:rFonts w:ascii="Palatino Linotype" w:hAnsi="Palatino Linotype"/>
        </w:rPr>
        <w:t xml:space="preserve"> De las constancias que obran en el expediente electrónico del recurso de revisión en estudio, se advierte que</w:t>
      </w:r>
      <w:r w:rsidR="00A17446" w:rsidRPr="003565EB">
        <w:rPr>
          <w:rFonts w:ascii="Palatino Linotype" w:hAnsi="Palatino Linotype"/>
        </w:rPr>
        <w:t xml:space="preserve"> en fecha dieciocho de febrero de dos mil diecinueve,</w:t>
      </w:r>
      <w:r w:rsidRPr="003565EB">
        <w:rPr>
          <w:rFonts w:ascii="Palatino Linotype" w:hAnsi="Palatino Linotype"/>
        </w:rPr>
        <w:t xml:space="preserve"> </w:t>
      </w:r>
      <w:r w:rsidRPr="003565EB">
        <w:rPr>
          <w:rFonts w:ascii="Palatino Linotype" w:hAnsi="Palatino Linotype"/>
          <w:b/>
        </w:rPr>
        <w:t>EL SUJETO OBLIGADO</w:t>
      </w:r>
      <w:r w:rsidR="00ED15A2" w:rsidRPr="003565EB">
        <w:rPr>
          <w:rFonts w:ascii="Palatino Linotype" w:hAnsi="Palatino Linotype"/>
          <w:b/>
        </w:rPr>
        <w:t xml:space="preserve"> </w:t>
      </w:r>
      <w:r w:rsidR="00ED15A2" w:rsidRPr="003565EB">
        <w:rPr>
          <w:rFonts w:ascii="Palatino Linotype" w:hAnsi="Palatino Linotype" w:cs="Arial"/>
        </w:rPr>
        <w:t xml:space="preserve">dio respuesta a la </w:t>
      </w:r>
      <w:r w:rsidR="00ED15A2" w:rsidRPr="003565EB">
        <w:rPr>
          <w:rFonts w:ascii="Palatino Linotype" w:hAnsi="Palatino Linotype"/>
        </w:rPr>
        <w:t>solicitud</w:t>
      </w:r>
      <w:r w:rsidR="00ED15A2" w:rsidRPr="003565EB">
        <w:rPr>
          <w:rFonts w:ascii="Palatino Linotype" w:hAnsi="Palatino Linotype" w:cs="Arial"/>
        </w:rPr>
        <w:t xml:space="preserve"> de </w:t>
      </w:r>
      <w:r w:rsidR="00ED15A2" w:rsidRPr="003565EB">
        <w:rPr>
          <w:rFonts w:ascii="Palatino Linotype" w:hAnsi="Palatino Linotype"/>
        </w:rPr>
        <w:t>acceso</w:t>
      </w:r>
      <w:r w:rsidR="00ED15A2" w:rsidRPr="003565EB">
        <w:rPr>
          <w:rFonts w:ascii="Palatino Linotype" w:hAnsi="Palatino Linotype" w:cs="Arial"/>
        </w:rPr>
        <w:t xml:space="preserve"> a la información pública requerida por </w:t>
      </w:r>
      <w:r w:rsidR="00ED15A2" w:rsidRPr="003565EB">
        <w:rPr>
          <w:rFonts w:ascii="Palatino Linotype" w:hAnsi="Palatino Linotype" w:cs="Arial"/>
          <w:b/>
        </w:rPr>
        <w:t>LA RECURRENTE</w:t>
      </w:r>
      <w:r w:rsidR="00ED15A2" w:rsidRPr="003565EB">
        <w:rPr>
          <w:rFonts w:ascii="Palatino Linotype" w:hAnsi="Palatino Linotype" w:cs="Arial"/>
        </w:rPr>
        <w:t>, en los siguientes términos:</w:t>
      </w:r>
    </w:p>
    <w:p w:rsidR="00ED15A2" w:rsidRPr="003565EB" w:rsidRDefault="00B60B3A" w:rsidP="00ED15A2">
      <w:pPr>
        <w:spacing w:before="100" w:beforeAutospacing="1" w:after="100" w:afterAutospacing="1" w:line="360" w:lineRule="auto"/>
        <w:jc w:val="center"/>
        <w:rPr>
          <w:rFonts w:ascii="Palatino Linotype" w:hAnsi="Palatino Linotype"/>
          <w:b/>
        </w:rPr>
      </w:pPr>
      <w:r>
        <w:rPr>
          <w:noProof/>
          <w:lang w:eastAsia="es-MX"/>
        </w:rPr>
        <w:drawing>
          <wp:inline distT="0" distB="0" distL="0" distR="0" wp14:anchorId="0B798936" wp14:editId="2A97588E">
            <wp:extent cx="5568104" cy="26141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278" t="20834" r="20577" b="31474"/>
                    <a:stretch/>
                  </pic:blipFill>
                  <pic:spPr bwMode="auto">
                    <a:xfrm>
                      <a:off x="0" y="0"/>
                      <a:ext cx="5611971" cy="2634770"/>
                    </a:xfrm>
                    <a:prstGeom prst="rect">
                      <a:avLst/>
                    </a:prstGeom>
                    <a:ln>
                      <a:noFill/>
                    </a:ln>
                    <a:extLst>
                      <a:ext uri="{53640926-AAD7-44D8-BBD7-CCE9431645EC}">
                        <a14:shadowObscured xmlns:a14="http://schemas.microsoft.com/office/drawing/2010/main"/>
                      </a:ext>
                    </a:extLst>
                  </pic:spPr>
                </pic:pic>
              </a:graphicData>
            </a:graphic>
          </wp:inline>
        </w:drawing>
      </w:r>
    </w:p>
    <w:p w:rsidR="00ED15A2" w:rsidRPr="003565EB" w:rsidRDefault="00ED15A2" w:rsidP="003F21F9">
      <w:pPr>
        <w:spacing w:before="100" w:beforeAutospacing="1" w:after="100" w:afterAutospacing="1" w:line="360" w:lineRule="auto"/>
        <w:jc w:val="both"/>
        <w:rPr>
          <w:rFonts w:ascii="Palatino Linotype" w:hAnsi="Palatino Linotype"/>
        </w:rPr>
      </w:pPr>
      <w:r w:rsidRPr="003565EB">
        <w:rPr>
          <w:rFonts w:ascii="Palatino Linotype" w:hAnsi="Palatino Linotype"/>
        </w:rPr>
        <w:t xml:space="preserve">Cabe destacar que, </w:t>
      </w:r>
      <w:r w:rsidRPr="003565EB">
        <w:rPr>
          <w:rFonts w:ascii="Palatino Linotype" w:hAnsi="Palatino Linotype"/>
          <w:b/>
        </w:rPr>
        <w:t xml:space="preserve">EL SUJETO OBLIGADO </w:t>
      </w:r>
      <w:r w:rsidRPr="003565EB">
        <w:rPr>
          <w:rFonts w:ascii="Palatino Linotype" w:hAnsi="Palatino Linotype"/>
        </w:rPr>
        <w:t>a dicha respuesta adjuntó dos archivos electrónicos denominados “</w:t>
      </w:r>
      <w:hyperlink r:id="rId10" w:tgtFrame="_blank" w:history="1">
        <w:r w:rsidRPr="003565EB">
          <w:rPr>
            <w:rFonts w:ascii="Palatino Linotype" w:hAnsi="Palatino Linotype"/>
            <w:b/>
          </w:rPr>
          <w:t>MV028IP19.PDF</w:t>
        </w:r>
      </w:hyperlink>
      <w:r w:rsidRPr="003565EB">
        <w:rPr>
          <w:rFonts w:ascii="Palatino Linotype" w:hAnsi="Palatino Linotype"/>
          <w:b/>
        </w:rPr>
        <w:t xml:space="preserve">” </w:t>
      </w:r>
      <w:r w:rsidRPr="003565EB">
        <w:rPr>
          <w:rFonts w:ascii="Palatino Linotype" w:hAnsi="Palatino Linotype"/>
        </w:rPr>
        <w:t>y “</w:t>
      </w:r>
      <w:hyperlink r:id="rId11" w:tgtFrame="_blank" w:history="1">
        <w:r w:rsidRPr="003565EB">
          <w:rPr>
            <w:rFonts w:ascii="Palatino Linotype" w:hAnsi="Palatino Linotype"/>
            <w:b/>
          </w:rPr>
          <w:t>MV028IP19ct.PDF</w:t>
        </w:r>
      </w:hyperlink>
      <w:r w:rsidRPr="003565EB">
        <w:rPr>
          <w:rFonts w:ascii="Palatino Linotype" w:hAnsi="Palatino Linotype"/>
          <w:b/>
        </w:rPr>
        <w:t xml:space="preserve">”, </w:t>
      </w:r>
      <w:r w:rsidRPr="003565EB">
        <w:rPr>
          <w:rFonts w:ascii="Palatino Linotype" w:hAnsi="Palatino Linotype"/>
        </w:rPr>
        <w:t>mismos que contienen los oficios que se insertan a continuación:</w:t>
      </w:r>
    </w:p>
    <w:p w:rsidR="00ED15A2" w:rsidRPr="003565EB" w:rsidRDefault="00B60B3A" w:rsidP="00ED15A2">
      <w:pPr>
        <w:spacing w:before="100" w:beforeAutospacing="1" w:after="100" w:afterAutospacing="1" w:line="360" w:lineRule="auto"/>
        <w:jc w:val="center"/>
        <w:rPr>
          <w:rFonts w:ascii="Palatino Linotype" w:hAnsi="Palatino Linotype"/>
        </w:rPr>
      </w:pPr>
      <w:r>
        <w:rPr>
          <w:noProof/>
          <w:lang w:eastAsia="es-MX"/>
        </w:rPr>
        <w:lastRenderedPageBreak/>
        <w:drawing>
          <wp:inline distT="0" distB="0" distL="0" distR="0" wp14:anchorId="4DE8133E" wp14:editId="01BDD759">
            <wp:extent cx="5396933" cy="756458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297" t="20414" r="34594" b="7058"/>
                    <a:stretch/>
                  </pic:blipFill>
                  <pic:spPr bwMode="auto">
                    <a:xfrm>
                      <a:off x="0" y="0"/>
                      <a:ext cx="5422366" cy="7600230"/>
                    </a:xfrm>
                    <a:prstGeom prst="rect">
                      <a:avLst/>
                    </a:prstGeom>
                    <a:ln>
                      <a:noFill/>
                    </a:ln>
                    <a:extLst>
                      <a:ext uri="{53640926-AAD7-44D8-BBD7-CCE9431645EC}">
                        <a14:shadowObscured xmlns:a14="http://schemas.microsoft.com/office/drawing/2010/main"/>
                      </a:ext>
                    </a:extLst>
                  </pic:spPr>
                </pic:pic>
              </a:graphicData>
            </a:graphic>
          </wp:inline>
        </w:drawing>
      </w:r>
    </w:p>
    <w:p w:rsidR="00ED15A2" w:rsidRPr="003565EB" w:rsidRDefault="00A17446" w:rsidP="00ED15A2">
      <w:pPr>
        <w:spacing w:before="100" w:beforeAutospacing="1" w:after="100" w:afterAutospacing="1" w:line="360" w:lineRule="auto"/>
        <w:jc w:val="center"/>
        <w:rPr>
          <w:rFonts w:ascii="Palatino Linotype" w:hAnsi="Palatino Linotype"/>
        </w:rPr>
      </w:pPr>
      <w:r w:rsidRPr="003565EB">
        <w:rPr>
          <w:noProof/>
          <w:lang w:eastAsia="es-MX"/>
        </w:rPr>
        <w:lastRenderedPageBreak/>
        <w:drawing>
          <wp:inline distT="0" distB="0" distL="0" distR="0" wp14:anchorId="10CEBEAA" wp14:editId="2627EDAF">
            <wp:extent cx="5392351" cy="72412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312" t="8598" r="34111" b="11249"/>
                    <a:stretch/>
                  </pic:blipFill>
                  <pic:spPr bwMode="auto">
                    <a:xfrm>
                      <a:off x="0" y="0"/>
                      <a:ext cx="5412321" cy="7268019"/>
                    </a:xfrm>
                    <a:prstGeom prst="rect">
                      <a:avLst/>
                    </a:prstGeom>
                    <a:ln>
                      <a:noFill/>
                    </a:ln>
                    <a:extLst>
                      <a:ext uri="{53640926-AAD7-44D8-BBD7-CCE9431645EC}">
                        <a14:shadowObscured xmlns:a14="http://schemas.microsoft.com/office/drawing/2010/main"/>
                      </a:ext>
                    </a:extLst>
                  </pic:spPr>
                </pic:pic>
              </a:graphicData>
            </a:graphic>
          </wp:inline>
        </w:drawing>
      </w:r>
    </w:p>
    <w:p w:rsidR="003F21F9" w:rsidRPr="003565EB" w:rsidRDefault="003F21F9" w:rsidP="003F21F9">
      <w:pPr>
        <w:pStyle w:val="Prrafodelista"/>
        <w:spacing w:before="100" w:beforeAutospacing="1" w:after="100" w:afterAutospacing="1" w:line="360" w:lineRule="auto"/>
        <w:ind w:left="0"/>
        <w:contextualSpacing w:val="0"/>
        <w:jc w:val="both"/>
        <w:rPr>
          <w:rFonts w:ascii="Palatino Linotype" w:hAnsi="Palatino Linotype" w:cs="Arial"/>
        </w:rPr>
      </w:pPr>
      <w:r w:rsidRPr="003565EB">
        <w:rPr>
          <w:rFonts w:ascii="Palatino Linotype" w:hAnsi="Palatino Linotype"/>
          <w:b/>
          <w:sz w:val="28"/>
          <w:szCs w:val="28"/>
        </w:rPr>
        <w:lastRenderedPageBreak/>
        <w:t>IV.</w:t>
      </w:r>
      <w:r w:rsidRPr="003565EB">
        <w:rPr>
          <w:rFonts w:ascii="Palatino Linotype" w:hAnsi="Palatino Linotype"/>
        </w:rPr>
        <w:t xml:space="preserve"> </w:t>
      </w:r>
      <w:r w:rsidRPr="003565EB">
        <w:rPr>
          <w:rFonts w:ascii="Palatino Linotype" w:hAnsi="Palatino Linotype" w:cs="Arial"/>
        </w:rPr>
        <w:t>Inconforme con la</w:t>
      </w:r>
      <w:r w:rsidR="000C6D04" w:rsidRPr="003565EB">
        <w:rPr>
          <w:rFonts w:ascii="Palatino Linotype" w:hAnsi="Palatino Linotype" w:cs="Arial"/>
        </w:rPr>
        <w:t xml:space="preserve"> repuesta del </w:t>
      </w:r>
      <w:r w:rsidR="000C6D04" w:rsidRPr="003565EB">
        <w:rPr>
          <w:rFonts w:ascii="Palatino Linotype" w:hAnsi="Palatino Linotype" w:cs="Arial"/>
          <w:b/>
        </w:rPr>
        <w:t>S</w:t>
      </w:r>
      <w:r w:rsidRPr="003565EB">
        <w:rPr>
          <w:rFonts w:ascii="Palatino Linotype" w:hAnsi="Palatino Linotype" w:cs="Arial"/>
          <w:b/>
        </w:rPr>
        <w:t xml:space="preserve">UJETO OBLIGADO </w:t>
      </w:r>
      <w:r w:rsidR="00A17446" w:rsidRPr="003565EB">
        <w:rPr>
          <w:rFonts w:ascii="Palatino Linotype" w:hAnsi="Palatino Linotype" w:cs="Arial"/>
        </w:rPr>
        <w:t xml:space="preserve">el veinte </w:t>
      </w:r>
      <w:r w:rsidRPr="003565EB">
        <w:rPr>
          <w:rFonts w:ascii="Palatino Linotype" w:hAnsi="Palatino Linotype" w:cs="Arial"/>
        </w:rPr>
        <w:t xml:space="preserve">de </w:t>
      </w:r>
      <w:r w:rsidR="000C6D04" w:rsidRPr="003565EB">
        <w:rPr>
          <w:rFonts w:ascii="Palatino Linotype" w:hAnsi="Palatino Linotype" w:cs="Arial"/>
        </w:rPr>
        <w:t xml:space="preserve">febrero de </w:t>
      </w:r>
      <w:r w:rsidRPr="003565EB">
        <w:rPr>
          <w:rFonts w:ascii="Palatino Linotype" w:hAnsi="Palatino Linotype" w:cs="Arial"/>
        </w:rPr>
        <w:t xml:space="preserve"> dos mil diecinueve, </w:t>
      </w:r>
      <w:r w:rsidRPr="003565EB">
        <w:rPr>
          <w:rFonts w:ascii="Palatino Linotype" w:hAnsi="Palatino Linotype" w:cs="Arial"/>
          <w:b/>
        </w:rPr>
        <w:t>LA RECURRENTE</w:t>
      </w:r>
      <w:r w:rsidRPr="003565EB">
        <w:rPr>
          <w:rFonts w:ascii="Palatino Linotype" w:hAnsi="Palatino Linotype" w:cs="Arial"/>
        </w:rPr>
        <w:t xml:space="preserve"> interpuso el recurso de revisión objeto del presente estudio, el cual fue registrado en el</w:t>
      </w:r>
      <w:r w:rsidRPr="003565EB">
        <w:rPr>
          <w:rFonts w:ascii="Palatino Linotype" w:hAnsi="Palatino Linotype" w:cs="Arial"/>
          <w:b/>
        </w:rPr>
        <w:t xml:space="preserve"> SAIMEX </w:t>
      </w:r>
      <w:r w:rsidRPr="003565EB">
        <w:rPr>
          <w:rFonts w:ascii="Palatino Linotype" w:hAnsi="Palatino Linotype" w:cs="Arial"/>
        </w:rPr>
        <w:t xml:space="preserve">y se le asignó el número de expediente </w:t>
      </w:r>
      <w:r w:rsidRPr="003565EB">
        <w:rPr>
          <w:rFonts w:ascii="Palatino Linotype" w:hAnsi="Palatino Linotype" w:cs="Arial"/>
          <w:b/>
        </w:rPr>
        <w:t>0</w:t>
      </w:r>
      <w:r w:rsidR="000C6D04" w:rsidRPr="003565EB">
        <w:rPr>
          <w:rFonts w:ascii="Palatino Linotype" w:hAnsi="Palatino Linotype" w:cs="Arial"/>
          <w:b/>
        </w:rPr>
        <w:t>0822</w:t>
      </w:r>
      <w:r w:rsidRPr="003565EB">
        <w:rPr>
          <w:rFonts w:ascii="Palatino Linotype" w:hAnsi="Palatino Linotype" w:cs="Arial"/>
          <w:b/>
        </w:rPr>
        <w:t>/INFOEM/IP/RR/2019</w:t>
      </w:r>
      <w:r w:rsidRPr="003565EB">
        <w:rPr>
          <w:rFonts w:ascii="Palatino Linotype" w:hAnsi="Palatino Linotype" w:cs="Arial"/>
        </w:rPr>
        <w:t xml:space="preserve">, en el que señaló como acto impugnado: </w:t>
      </w:r>
    </w:p>
    <w:p w:rsidR="003F21F9" w:rsidRPr="003565EB" w:rsidRDefault="003F21F9" w:rsidP="000C6D04">
      <w:pPr>
        <w:ind w:left="851" w:right="902"/>
        <w:jc w:val="both"/>
        <w:rPr>
          <w:rFonts w:ascii="Palatino Linotype" w:hAnsi="Palatino Linotype"/>
          <w:i/>
          <w:color w:val="000000"/>
          <w:sz w:val="22"/>
          <w:szCs w:val="22"/>
        </w:rPr>
      </w:pPr>
      <w:r w:rsidRPr="003565EB">
        <w:rPr>
          <w:rFonts w:ascii="Palatino Linotype" w:hAnsi="Palatino Linotype"/>
          <w:i/>
          <w:color w:val="000000"/>
          <w:sz w:val="22"/>
          <w:szCs w:val="22"/>
        </w:rPr>
        <w:t>“</w:t>
      </w:r>
      <w:r w:rsidR="000C6D04" w:rsidRPr="003565EB">
        <w:rPr>
          <w:rFonts w:ascii="Palatino Linotype" w:hAnsi="Palatino Linotype"/>
          <w:i/>
          <w:color w:val="000000"/>
          <w:sz w:val="22"/>
          <w:szCs w:val="22"/>
        </w:rPr>
        <w:t>La respuesta del Contralor Municipal de Metepec, mediante oficio CM/0291 de fecha 12 de enero del año en curso, mediante la cual atiende la solicitud de consulta de información que a suscrita requiere a la que le fue asignado el folio 0028/METEPEC/IP/2019, manifestando que no es posible dar atención a mi petición debido a que en dichas actas de entrega recepción contienen datos personales</w:t>
      </w:r>
      <w:r w:rsidRPr="003565EB">
        <w:rPr>
          <w:rFonts w:ascii="Palatino Linotype" w:hAnsi="Palatino Linotype"/>
          <w:i/>
          <w:color w:val="000000"/>
          <w:sz w:val="22"/>
          <w:szCs w:val="22"/>
        </w:rPr>
        <w:t>.” (Sic)</w:t>
      </w:r>
    </w:p>
    <w:p w:rsidR="003F21F9" w:rsidRPr="003565EB" w:rsidRDefault="003F21F9" w:rsidP="003F21F9">
      <w:pPr>
        <w:spacing w:before="100" w:beforeAutospacing="1" w:after="100" w:afterAutospacing="1" w:line="360" w:lineRule="auto"/>
        <w:jc w:val="both"/>
        <w:rPr>
          <w:rFonts w:ascii="Palatino Linotype" w:hAnsi="Palatino Linotype" w:cs="Arial"/>
        </w:rPr>
      </w:pPr>
      <w:r w:rsidRPr="003565EB">
        <w:rPr>
          <w:rFonts w:ascii="Palatino Linotype" w:hAnsi="Palatino Linotype" w:cs="Arial"/>
        </w:rPr>
        <w:t xml:space="preserve">Asimismo, </w:t>
      </w:r>
      <w:r w:rsidRPr="003565EB">
        <w:rPr>
          <w:rFonts w:ascii="Palatino Linotype" w:hAnsi="Palatino Linotype" w:cs="Arial"/>
          <w:b/>
        </w:rPr>
        <w:t>LA RECURRENTE</w:t>
      </w:r>
      <w:r w:rsidRPr="003565EB">
        <w:rPr>
          <w:rFonts w:ascii="Palatino Linotype" w:hAnsi="Palatino Linotype" w:cs="Arial"/>
        </w:rPr>
        <w:t xml:space="preserve"> manifestó como razones o motivos de inconformidad: </w:t>
      </w:r>
    </w:p>
    <w:p w:rsidR="003F21F9" w:rsidRPr="003565EB" w:rsidRDefault="003F21F9" w:rsidP="000C6D04">
      <w:pPr>
        <w:ind w:left="851" w:right="902"/>
        <w:jc w:val="both"/>
        <w:rPr>
          <w:rFonts w:ascii="Palatino Linotype" w:hAnsi="Palatino Linotype" w:cs="Arial"/>
          <w:i/>
          <w:sz w:val="22"/>
        </w:rPr>
      </w:pPr>
      <w:r w:rsidRPr="003565EB">
        <w:rPr>
          <w:rFonts w:ascii="Palatino Linotype" w:hAnsi="Palatino Linotype" w:cs="Arial"/>
          <w:i/>
          <w:sz w:val="22"/>
        </w:rPr>
        <w:t>“</w:t>
      </w:r>
      <w:r w:rsidR="000C6D04" w:rsidRPr="003565EB">
        <w:rPr>
          <w:rFonts w:ascii="Palatino Linotype" w:hAnsi="Palatino Linotype" w:cs="Arial"/>
          <w:i/>
          <w:sz w:val="22"/>
        </w:rPr>
        <w:t>El motivo de mi inconformidad es en razón de que las actas de entrega recepción son información pública, y que la negativa de no mostrar o dar dicha información, es una clara muestra de desconocimiento de la Ley de Transparencia y Acceso a la Información Pública en Posesión de los Sujetos obligados,y violación a mi derecho a acceso a la misma, ya que el comité de transparencia de manera oficiosa debe de someter a valoración y determinar fundada y motivada, la generación de las versiones públicas testando, cuando los documentos requeridos contengan datos personales</w:t>
      </w:r>
      <w:r w:rsidRPr="003565EB">
        <w:rPr>
          <w:rFonts w:ascii="Palatino Linotype" w:hAnsi="Palatino Linotype" w:cs="Arial"/>
          <w:i/>
          <w:sz w:val="22"/>
        </w:rPr>
        <w:t>.” (Sic)</w:t>
      </w:r>
    </w:p>
    <w:p w:rsidR="003F21F9" w:rsidRPr="003565EB" w:rsidRDefault="003F21F9" w:rsidP="003F21F9">
      <w:pPr>
        <w:pStyle w:val="Prrafodelista"/>
        <w:spacing w:before="100" w:beforeAutospacing="1" w:after="100" w:afterAutospacing="1" w:line="360" w:lineRule="auto"/>
        <w:ind w:left="0"/>
        <w:contextualSpacing w:val="0"/>
        <w:jc w:val="both"/>
        <w:rPr>
          <w:rFonts w:ascii="Palatino Linotype" w:hAnsi="Palatino Linotype" w:cs="Arial"/>
        </w:rPr>
      </w:pPr>
      <w:r w:rsidRPr="003565EB">
        <w:rPr>
          <w:rFonts w:ascii="Palatino Linotype" w:hAnsi="Palatino Linotype"/>
          <w:b/>
          <w:sz w:val="28"/>
          <w:szCs w:val="28"/>
        </w:rPr>
        <w:t>V.</w:t>
      </w:r>
      <w:r w:rsidRPr="003565EB">
        <w:rPr>
          <w:rFonts w:ascii="Palatino Linotype" w:hAnsi="Palatino Linotype"/>
          <w:b/>
        </w:rPr>
        <w:t xml:space="preserve"> </w:t>
      </w:r>
      <w:r w:rsidRPr="003565EB">
        <w:rPr>
          <w:rFonts w:ascii="Palatino Linotype" w:hAnsi="Palatino Linotype" w:cs="Arial"/>
        </w:rPr>
        <w:t xml:space="preserve">El </w:t>
      </w:r>
      <w:r w:rsidR="000C6D04" w:rsidRPr="003565EB">
        <w:rPr>
          <w:rFonts w:ascii="Palatino Linotype" w:hAnsi="Palatino Linotype" w:cs="Arial"/>
        </w:rPr>
        <w:t xml:space="preserve">veinte </w:t>
      </w:r>
      <w:r w:rsidRPr="003565EB">
        <w:rPr>
          <w:rFonts w:ascii="Palatino Linotype" w:hAnsi="Palatino Linotype" w:cs="Arial"/>
        </w:rPr>
        <w:t xml:space="preserve">de </w:t>
      </w:r>
      <w:r w:rsidR="000C6D04" w:rsidRPr="003565EB">
        <w:rPr>
          <w:rFonts w:ascii="Palatino Linotype" w:hAnsi="Palatino Linotype" w:cs="Arial"/>
        </w:rPr>
        <w:t xml:space="preserve">febrero </w:t>
      </w:r>
      <w:r w:rsidRPr="003565EB">
        <w:rPr>
          <w:rFonts w:ascii="Palatino Linotype" w:hAnsi="Palatino Linotype" w:cs="Arial"/>
        </w:rPr>
        <w:t xml:space="preserve">de dos mil diecinueve, el recurso de que se trata se envió electrónicamente al Instituto de </w:t>
      </w:r>
      <w:r w:rsidRPr="003565EB">
        <w:rPr>
          <w:rFonts w:ascii="Palatino Linotype" w:eastAsia="Arial Unicode MS" w:hAnsi="Palatino Linotype" w:cs="Arial"/>
        </w:rPr>
        <w:t>Transparencia</w:t>
      </w:r>
      <w:r w:rsidRPr="003565EB">
        <w:rPr>
          <w:rFonts w:ascii="Palatino Linotype" w:hAnsi="Palatino Linotype" w:cs="Arial"/>
        </w:rPr>
        <w:t xml:space="preserve">, Acceso a la Información Pública y Protección de Datos Personales del Estado de México y Municipios y con fundamento en el artículo 185, fracción I de la </w:t>
      </w:r>
      <w:r w:rsidRPr="003565EB">
        <w:rPr>
          <w:rFonts w:ascii="Palatino Linotype" w:hAnsi="Palatino Linotype"/>
        </w:rPr>
        <w:t>Ley de Transparencia y Acceso a la Información Pública del Estado de México y Municipios</w:t>
      </w:r>
      <w:r w:rsidRPr="003565EB">
        <w:rPr>
          <w:rFonts w:ascii="Palatino Linotype" w:hAnsi="Palatino Linotype" w:cs="Arial"/>
        </w:rPr>
        <w:t>, se turnó, a través del</w:t>
      </w:r>
      <w:r w:rsidRPr="003565EB">
        <w:rPr>
          <w:rFonts w:ascii="Palatino Linotype" w:eastAsia="Arial Unicode MS" w:hAnsi="Palatino Linotype" w:cs="Arial"/>
        </w:rPr>
        <w:t xml:space="preserve"> </w:t>
      </w:r>
      <w:r w:rsidRPr="003565EB">
        <w:rPr>
          <w:rFonts w:ascii="Palatino Linotype" w:eastAsia="Arial Unicode MS" w:hAnsi="Palatino Linotype" w:cs="Arial"/>
          <w:b/>
        </w:rPr>
        <w:t>SAIMEX</w:t>
      </w:r>
      <w:r w:rsidRPr="003565EB">
        <w:rPr>
          <w:rFonts w:ascii="Palatino Linotype" w:hAnsi="Palatino Linotype"/>
        </w:rPr>
        <w:t xml:space="preserve">, a la </w:t>
      </w:r>
      <w:r w:rsidRPr="003565EB">
        <w:rPr>
          <w:rFonts w:ascii="Palatino Linotype" w:hAnsi="Palatino Linotype" w:cs="Arial"/>
        </w:rPr>
        <w:t xml:space="preserve">Comisionada </w:t>
      </w:r>
      <w:r w:rsidRPr="003565EB">
        <w:rPr>
          <w:rFonts w:ascii="Palatino Linotype" w:hAnsi="Palatino Linotype" w:cs="Arial"/>
          <w:b/>
        </w:rPr>
        <w:t>EVA ABAID YAPUR</w:t>
      </w:r>
      <w:r w:rsidRPr="003565EB">
        <w:rPr>
          <w:rFonts w:ascii="Palatino Linotype" w:hAnsi="Palatino Linotype"/>
        </w:rPr>
        <w:t>,</w:t>
      </w:r>
      <w:r w:rsidRPr="003565EB">
        <w:rPr>
          <w:rFonts w:ascii="Palatino Linotype" w:hAnsi="Palatino Linotype" w:cs="Arial"/>
        </w:rPr>
        <w:t xml:space="preserve"> a efecto de decretar su admisión o desechamiento.</w:t>
      </w:r>
    </w:p>
    <w:p w:rsidR="003F21F9" w:rsidRPr="003565EB" w:rsidRDefault="003F21F9" w:rsidP="003F21F9">
      <w:pPr>
        <w:pStyle w:val="Prrafodelista"/>
        <w:spacing w:before="100" w:beforeAutospacing="1" w:after="100" w:afterAutospacing="1" w:line="360" w:lineRule="auto"/>
        <w:ind w:left="0"/>
        <w:contextualSpacing w:val="0"/>
        <w:jc w:val="both"/>
        <w:rPr>
          <w:rFonts w:ascii="Palatino Linotype" w:hAnsi="Palatino Linotype" w:cs="Arial"/>
        </w:rPr>
      </w:pPr>
      <w:r w:rsidRPr="003565EB">
        <w:rPr>
          <w:rFonts w:ascii="Palatino Linotype" w:hAnsi="Palatino Linotype" w:cs="Arial"/>
          <w:b/>
          <w:sz w:val="28"/>
          <w:szCs w:val="28"/>
        </w:rPr>
        <w:t>VI.</w:t>
      </w:r>
      <w:r w:rsidRPr="003565EB">
        <w:rPr>
          <w:rFonts w:ascii="Palatino Linotype" w:hAnsi="Palatino Linotype" w:cs="Arial"/>
        </w:rPr>
        <w:t xml:space="preserve"> </w:t>
      </w:r>
      <w:r w:rsidR="000C6D04" w:rsidRPr="003565EB">
        <w:rPr>
          <w:rFonts w:ascii="Palatino Linotype" w:hAnsi="Palatino Linotype" w:cs="Arial"/>
        </w:rPr>
        <w:t>El veintiséis</w:t>
      </w:r>
      <w:r w:rsidRPr="003565EB">
        <w:rPr>
          <w:rFonts w:ascii="Palatino Linotype" w:hAnsi="Palatino Linotype" w:cs="Arial"/>
        </w:rPr>
        <w:t xml:space="preserve"> de febrero de dos mil diecinueve, la Comisionada Ponente, atento a lo dispuesto en el artículo 185, fracciones I, II y IV de la </w:t>
      </w:r>
      <w:r w:rsidRPr="003565EB">
        <w:rPr>
          <w:rFonts w:ascii="Palatino Linotype" w:hAnsi="Palatino Linotype"/>
        </w:rPr>
        <w:t xml:space="preserve">Ley de Transparencia y Acceso a </w:t>
      </w:r>
      <w:r w:rsidRPr="003565EB">
        <w:rPr>
          <w:rFonts w:ascii="Palatino Linotype" w:hAnsi="Palatino Linotype"/>
        </w:rPr>
        <w:lastRenderedPageBreak/>
        <w:t>la Información Pública del Estado de México y Municipios, a</w:t>
      </w:r>
      <w:r w:rsidRPr="003565EB">
        <w:rPr>
          <w:rFonts w:ascii="Palatino Linotype" w:hAnsi="Palatino Linotype" w:cs="Arial"/>
        </w:rPr>
        <w:t>cordó la admisión a trámite del referido recurso de revisión</w:t>
      </w:r>
      <w:r w:rsidR="00A17446" w:rsidRPr="003565EB">
        <w:rPr>
          <w:rFonts w:ascii="Palatino Linotype" w:hAnsi="Palatino Linotype" w:cs="Arial"/>
        </w:rPr>
        <w:t>;</w:t>
      </w:r>
      <w:r w:rsidRPr="003565EB">
        <w:rPr>
          <w:rFonts w:ascii="Palatino Linotype" w:hAnsi="Palatino Linotype" w:cs="Arial"/>
        </w:rPr>
        <w:t xml:space="preserve"> así como, la integración del expediente respectivo, mismo que se puso a disposición de las partes, para que en un plazo máximo de siete días hábiles, realizaran manifestaciones y ofrecieran las pruebas y alegatos que a su derecho conviniera o exhibieran el Informe Justificado, según fuera el caso.</w:t>
      </w:r>
    </w:p>
    <w:p w:rsidR="000C6D04" w:rsidRPr="003565EB" w:rsidRDefault="003F21F9" w:rsidP="003F21F9">
      <w:pPr>
        <w:pStyle w:val="Prrafodelista"/>
        <w:spacing w:before="100" w:beforeAutospacing="1" w:after="100" w:afterAutospacing="1" w:line="360" w:lineRule="auto"/>
        <w:ind w:left="0"/>
        <w:contextualSpacing w:val="0"/>
        <w:jc w:val="both"/>
        <w:rPr>
          <w:rFonts w:ascii="Palatino Linotype" w:hAnsi="Palatino Linotype" w:cs="Arial"/>
        </w:rPr>
      </w:pPr>
      <w:r w:rsidRPr="003565EB">
        <w:rPr>
          <w:rFonts w:ascii="Palatino Linotype" w:hAnsi="Palatino Linotype" w:cs="Arial"/>
          <w:b/>
          <w:sz w:val="28"/>
          <w:szCs w:val="28"/>
        </w:rPr>
        <w:t>VII.</w:t>
      </w:r>
      <w:r w:rsidRPr="003565EB">
        <w:rPr>
          <w:rFonts w:ascii="Palatino Linotype" w:hAnsi="Palatino Linotype" w:cs="Arial"/>
        </w:rPr>
        <w:t xml:space="preserve"> De las constancias que obran en el </w:t>
      </w:r>
      <w:r w:rsidRPr="003565EB">
        <w:rPr>
          <w:rFonts w:ascii="Palatino Linotype" w:hAnsi="Palatino Linotype" w:cs="Arial"/>
          <w:b/>
        </w:rPr>
        <w:t>SAIMEX</w:t>
      </w:r>
      <w:r w:rsidRPr="003565EB">
        <w:rPr>
          <w:rFonts w:ascii="Palatino Linotype" w:hAnsi="Palatino Linotype" w:cs="Arial"/>
        </w:rPr>
        <w:t xml:space="preserve">, respecto del recurso de revisión de mérito se desprende que, dentro del término concedido a las partes </w:t>
      </w:r>
      <w:r w:rsidRPr="003565EB">
        <w:rPr>
          <w:rFonts w:ascii="Palatino Linotype" w:hAnsi="Palatino Linotype" w:cs="Arial"/>
          <w:b/>
        </w:rPr>
        <w:t xml:space="preserve">LA RECURRENTE, </w:t>
      </w:r>
      <w:r w:rsidR="000C6D04" w:rsidRPr="003565EB">
        <w:rPr>
          <w:rFonts w:ascii="Palatino Linotype" w:hAnsi="Palatino Linotype" w:cs="Arial"/>
        </w:rPr>
        <w:t>en fecha veintiséis</w:t>
      </w:r>
      <w:r w:rsidRPr="003565EB">
        <w:rPr>
          <w:rFonts w:ascii="Palatino Linotype" w:hAnsi="Palatino Linotype" w:cs="Arial"/>
        </w:rPr>
        <w:t xml:space="preserve"> de febrero de dos mil diecinueve, presentó sus </w:t>
      </w:r>
      <w:r w:rsidRPr="003565EB">
        <w:rPr>
          <w:rFonts w:ascii="Palatino Linotype" w:hAnsi="Palatino Linotype"/>
        </w:rPr>
        <w:t>manifestaciones</w:t>
      </w:r>
      <w:r w:rsidRPr="003565EB">
        <w:rPr>
          <w:rFonts w:ascii="Palatino Linotype" w:hAnsi="Palatino Linotype" w:cs="Arial"/>
        </w:rPr>
        <w:t xml:space="preserve"> y alegatos, </w:t>
      </w:r>
      <w:r w:rsidR="000C6D04" w:rsidRPr="003565EB">
        <w:rPr>
          <w:rFonts w:ascii="Palatino Linotype" w:hAnsi="Palatino Linotype" w:cs="Arial"/>
        </w:rPr>
        <w:t>adjuntando los formatos de acuse de la solicitud de información y del recurso de revisión, mismos que al ser del conocimiento de las partes se omite su inserción en el presente apartado.</w:t>
      </w:r>
    </w:p>
    <w:p w:rsidR="00857D5B" w:rsidRPr="003565EB" w:rsidRDefault="00857D5B" w:rsidP="003F21F9">
      <w:pPr>
        <w:pStyle w:val="Prrafodelista"/>
        <w:spacing w:before="100" w:beforeAutospacing="1" w:after="100" w:afterAutospacing="1" w:line="360" w:lineRule="auto"/>
        <w:ind w:left="0"/>
        <w:contextualSpacing w:val="0"/>
        <w:jc w:val="both"/>
        <w:rPr>
          <w:rFonts w:ascii="Palatino Linotype" w:hAnsi="Palatino Linotype" w:cs="Arial"/>
        </w:rPr>
      </w:pPr>
      <w:r w:rsidRPr="003565EB">
        <w:rPr>
          <w:rFonts w:ascii="Palatino Linotype" w:hAnsi="Palatino Linotype" w:cs="Arial"/>
          <w:b/>
          <w:noProof/>
          <w:sz w:val="28"/>
          <w:szCs w:val="28"/>
          <w:lang w:eastAsia="es-MX"/>
        </w:rPr>
        <mc:AlternateContent>
          <mc:Choice Requires="wps">
            <w:drawing>
              <wp:anchor distT="0" distB="0" distL="114300" distR="114300" simplePos="0" relativeHeight="251660288" behindDoc="0" locked="0" layoutInCell="1" allowOverlap="1">
                <wp:simplePos x="0" y="0"/>
                <wp:positionH relativeFrom="column">
                  <wp:posOffset>95522</wp:posOffset>
                </wp:positionH>
                <wp:positionV relativeFrom="paragraph">
                  <wp:posOffset>1846778</wp:posOffset>
                </wp:positionV>
                <wp:extent cx="5676405" cy="1353787"/>
                <wp:effectExtent l="19050" t="19050" r="19685" b="37465"/>
                <wp:wrapNone/>
                <wp:docPr id="7" name="Conector recto 7"/>
                <wp:cNvGraphicFramePr/>
                <a:graphic xmlns:a="http://schemas.openxmlformats.org/drawingml/2006/main">
                  <a:graphicData uri="http://schemas.microsoft.com/office/word/2010/wordprocessingShape">
                    <wps:wsp>
                      <wps:cNvCnPr/>
                      <wps:spPr>
                        <a:xfrm>
                          <a:off x="0" y="0"/>
                          <a:ext cx="5676405" cy="135378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009AB" id="Conector recto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45.4pt" to="454.4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" strokecolor="#5b9bd5 [3204]" strokeweight="2.25pt">
                <v:stroke joinstyle="miter"/>
              </v:line>
            </w:pict>
          </mc:Fallback>
        </mc:AlternateContent>
      </w:r>
      <w:r w:rsidR="000C6D04" w:rsidRPr="003565EB">
        <w:rPr>
          <w:rFonts w:ascii="Palatino Linotype" w:hAnsi="Palatino Linotype" w:cs="Arial"/>
          <w:b/>
          <w:sz w:val="28"/>
          <w:szCs w:val="28"/>
        </w:rPr>
        <w:t>VIII</w:t>
      </w:r>
      <w:r w:rsidR="000C6D04" w:rsidRPr="003565EB">
        <w:rPr>
          <w:rFonts w:ascii="Palatino Linotype" w:hAnsi="Palatino Linotype" w:cs="Arial"/>
        </w:rPr>
        <w:t xml:space="preserve">. En ese tenor, </w:t>
      </w:r>
      <w:r w:rsidR="003F21F9" w:rsidRPr="003565EB">
        <w:rPr>
          <w:rFonts w:ascii="Palatino Linotype" w:hAnsi="Palatino Linotype" w:cs="Arial"/>
          <w:b/>
        </w:rPr>
        <w:t>EL SUJETO OBLIGADO</w:t>
      </w:r>
      <w:r w:rsidR="00A17446" w:rsidRPr="003565EB">
        <w:rPr>
          <w:rFonts w:ascii="Palatino Linotype" w:hAnsi="Palatino Linotype" w:cs="Arial"/>
          <w:b/>
        </w:rPr>
        <w:t>,</w:t>
      </w:r>
      <w:r w:rsidR="003F21F9" w:rsidRPr="003565EB">
        <w:rPr>
          <w:rFonts w:ascii="Palatino Linotype" w:hAnsi="Palatino Linotype" w:cs="Arial"/>
          <w:b/>
        </w:rPr>
        <w:t xml:space="preserve"> </w:t>
      </w:r>
      <w:r w:rsidR="003F21F9" w:rsidRPr="003565EB">
        <w:rPr>
          <w:rFonts w:ascii="Palatino Linotype" w:hAnsi="Palatino Linotype" w:cs="Arial"/>
        </w:rPr>
        <w:t xml:space="preserve">en fecha </w:t>
      </w:r>
      <w:r w:rsidRPr="003565EB">
        <w:rPr>
          <w:rFonts w:ascii="Palatino Linotype" w:hAnsi="Palatino Linotype" w:cs="Arial"/>
        </w:rPr>
        <w:t>ocho de marzo de dos mil diecinueve, presentó su Informe Justificado</w:t>
      </w:r>
      <w:r w:rsidR="00A17446" w:rsidRPr="003565EB">
        <w:rPr>
          <w:rFonts w:ascii="Palatino Linotype" w:hAnsi="Palatino Linotype" w:cs="Arial"/>
        </w:rPr>
        <w:t>,</w:t>
      </w:r>
      <w:r w:rsidRPr="003565EB">
        <w:rPr>
          <w:rFonts w:ascii="Palatino Linotype" w:hAnsi="Palatino Linotype" w:cs="Arial"/>
        </w:rPr>
        <w:t xml:space="preserve"> a través del archivo electrónico denominado </w:t>
      </w:r>
      <w:r w:rsidRPr="003565EB">
        <w:rPr>
          <w:rFonts w:ascii="Palatino Linotype" w:hAnsi="Palatino Linotype" w:cs="Arial"/>
          <w:b/>
        </w:rPr>
        <w:t>“</w:t>
      </w:r>
      <w:hyperlink r:id="rId14" w:history="1">
        <w:r w:rsidRPr="003565EB">
          <w:rPr>
            <w:rFonts w:ascii="Palatino Linotype" w:hAnsi="Palatino Linotype" w:cs="Arial"/>
            <w:b/>
          </w:rPr>
          <w:t>INFORME822.PDF</w:t>
        </w:r>
      </w:hyperlink>
      <w:r w:rsidRPr="003565EB">
        <w:rPr>
          <w:rFonts w:ascii="Palatino Linotype" w:hAnsi="Palatino Linotype" w:cs="Arial"/>
          <w:b/>
        </w:rPr>
        <w:t xml:space="preserve">”, </w:t>
      </w:r>
      <w:r w:rsidR="00A17446" w:rsidRPr="003565EB">
        <w:rPr>
          <w:rFonts w:ascii="Palatino Linotype" w:hAnsi="Palatino Linotype" w:cs="Arial"/>
        </w:rPr>
        <w:t>el cual no actualizó</w:t>
      </w:r>
      <w:r w:rsidRPr="003565EB">
        <w:rPr>
          <w:rFonts w:ascii="Palatino Linotype" w:hAnsi="Palatino Linotype" w:cs="Arial"/>
        </w:rPr>
        <w:t xml:space="preserve"> el supuesto previsto en la fracción III del artículo 185 de la Ley de Transparencia y Acceso a la Información Pública del Estado de México y Municipios; sin embargo, a efecto de que sea del conocimiento de </w:t>
      </w:r>
      <w:r w:rsidRPr="003565EB">
        <w:rPr>
          <w:rFonts w:ascii="Palatino Linotype" w:hAnsi="Palatino Linotype" w:cs="Arial"/>
          <w:b/>
        </w:rPr>
        <w:t xml:space="preserve">LA RECURRENTE </w:t>
      </w:r>
      <w:r w:rsidRPr="003565EB">
        <w:rPr>
          <w:rFonts w:ascii="Palatino Linotype" w:hAnsi="Palatino Linotype" w:cs="Arial"/>
        </w:rPr>
        <w:t>se inserta a continuación:</w:t>
      </w:r>
    </w:p>
    <w:p w:rsidR="00857D5B" w:rsidRPr="003565EB" w:rsidRDefault="00857D5B" w:rsidP="003F21F9">
      <w:pPr>
        <w:pStyle w:val="Prrafodelista"/>
        <w:spacing w:before="100" w:beforeAutospacing="1" w:after="100" w:afterAutospacing="1" w:line="360" w:lineRule="auto"/>
        <w:ind w:left="0"/>
        <w:contextualSpacing w:val="0"/>
        <w:jc w:val="both"/>
        <w:rPr>
          <w:rFonts w:ascii="Palatino Linotype" w:hAnsi="Palatino Linotype" w:cs="Arial"/>
        </w:rPr>
      </w:pPr>
    </w:p>
    <w:p w:rsidR="00857D5B" w:rsidRPr="003565EB" w:rsidRDefault="00857D5B" w:rsidP="003F21F9">
      <w:pPr>
        <w:pStyle w:val="Prrafodelista"/>
        <w:spacing w:before="100" w:beforeAutospacing="1" w:after="100" w:afterAutospacing="1" w:line="360" w:lineRule="auto"/>
        <w:ind w:left="0"/>
        <w:contextualSpacing w:val="0"/>
        <w:jc w:val="both"/>
        <w:rPr>
          <w:rFonts w:ascii="Palatino Linotype" w:hAnsi="Palatino Linotype" w:cs="Arial"/>
        </w:rPr>
      </w:pPr>
    </w:p>
    <w:p w:rsidR="00857D5B" w:rsidRPr="003565EB" w:rsidRDefault="00857D5B" w:rsidP="003F21F9">
      <w:pPr>
        <w:pStyle w:val="Prrafodelista"/>
        <w:spacing w:before="100" w:beforeAutospacing="1" w:after="100" w:afterAutospacing="1" w:line="360" w:lineRule="auto"/>
        <w:ind w:left="0"/>
        <w:contextualSpacing w:val="0"/>
        <w:jc w:val="both"/>
        <w:rPr>
          <w:rFonts w:ascii="Palatino Linotype" w:hAnsi="Palatino Linotype" w:cs="Arial"/>
        </w:rPr>
      </w:pPr>
    </w:p>
    <w:p w:rsidR="00857D5B" w:rsidRPr="003565EB" w:rsidRDefault="00B60B3A" w:rsidP="005B2CC7">
      <w:pPr>
        <w:pStyle w:val="Prrafodelista"/>
        <w:spacing w:before="100" w:beforeAutospacing="1" w:after="100" w:afterAutospacing="1" w:line="360" w:lineRule="auto"/>
        <w:ind w:left="0"/>
        <w:contextualSpacing w:val="0"/>
        <w:jc w:val="center"/>
        <w:rPr>
          <w:rFonts w:ascii="Palatino Linotype" w:hAnsi="Palatino Linotype" w:cs="Arial"/>
          <w:b/>
          <w:sz w:val="28"/>
          <w:szCs w:val="28"/>
        </w:rPr>
      </w:pPr>
      <w:r>
        <w:rPr>
          <w:noProof/>
          <w:lang w:eastAsia="es-MX"/>
        </w:rPr>
        <w:lastRenderedPageBreak/>
        <w:drawing>
          <wp:inline distT="0" distB="0" distL="0" distR="0" wp14:anchorId="451E8D82" wp14:editId="56655D1F">
            <wp:extent cx="5275544" cy="7564582"/>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498" t="18954" r="35619" b="9974"/>
                    <a:stretch/>
                  </pic:blipFill>
                  <pic:spPr bwMode="auto">
                    <a:xfrm>
                      <a:off x="0" y="0"/>
                      <a:ext cx="5292722" cy="7589213"/>
                    </a:xfrm>
                    <a:prstGeom prst="rect">
                      <a:avLst/>
                    </a:prstGeom>
                    <a:ln>
                      <a:noFill/>
                    </a:ln>
                    <a:extLst>
                      <a:ext uri="{53640926-AAD7-44D8-BBD7-CCE9431645EC}">
                        <a14:shadowObscured xmlns:a14="http://schemas.microsoft.com/office/drawing/2010/main"/>
                      </a:ext>
                    </a:extLst>
                  </pic:spPr>
                </pic:pic>
              </a:graphicData>
            </a:graphic>
          </wp:inline>
        </w:drawing>
      </w:r>
    </w:p>
    <w:p w:rsidR="00375624" w:rsidRPr="003565EB" w:rsidRDefault="00B60B3A" w:rsidP="005B2CC7">
      <w:pPr>
        <w:pStyle w:val="Prrafodelista"/>
        <w:spacing w:before="100" w:beforeAutospacing="1" w:after="100" w:afterAutospacing="1" w:line="360" w:lineRule="auto"/>
        <w:ind w:left="0"/>
        <w:contextualSpacing w:val="0"/>
        <w:jc w:val="center"/>
        <w:rPr>
          <w:rFonts w:ascii="Palatino Linotype" w:hAnsi="Palatino Linotype" w:cs="Arial"/>
          <w:b/>
          <w:sz w:val="28"/>
          <w:szCs w:val="28"/>
        </w:rPr>
      </w:pPr>
      <w:r>
        <w:rPr>
          <w:noProof/>
          <w:lang w:eastAsia="es-MX"/>
        </w:rPr>
        <w:lastRenderedPageBreak/>
        <w:drawing>
          <wp:inline distT="0" distB="0" distL="0" distR="0" wp14:anchorId="47A71610" wp14:editId="4AC1DF8C">
            <wp:extent cx="5404626" cy="7635834"/>
            <wp:effectExtent l="0" t="0" r="571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708" t="19320" r="33979" b="7058"/>
                    <a:stretch/>
                  </pic:blipFill>
                  <pic:spPr bwMode="auto">
                    <a:xfrm>
                      <a:off x="0" y="0"/>
                      <a:ext cx="5426662" cy="7666967"/>
                    </a:xfrm>
                    <a:prstGeom prst="rect">
                      <a:avLst/>
                    </a:prstGeom>
                    <a:ln>
                      <a:noFill/>
                    </a:ln>
                    <a:extLst>
                      <a:ext uri="{53640926-AAD7-44D8-BBD7-CCE9431645EC}">
                        <a14:shadowObscured xmlns:a14="http://schemas.microsoft.com/office/drawing/2010/main"/>
                      </a:ext>
                    </a:extLst>
                  </pic:spPr>
                </pic:pic>
              </a:graphicData>
            </a:graphic>
          </wp:inline>
        </w:drawing>
      </w:r>
    </w:p>
    <w:p w:rsidR="00375624" w:rsidRPr="003565EB" w:rsidRDefault="00375624" w:rsidP="005B2CC7">
      <w:pPr>
        <w:pStyle w:val="Prrafodelista"/>
        <w:spacing w:before="100" w:beforeAutospacing="1" w:after="100" w:afterAutospacing="1" w:line="360" w:lineRule="auto"/>
        <w:ind w:left="0"/>
        <w:contextualSpacing w:val="0"/>
        <w:jc w:val="center"/>
        <w:rPr>
          <w:rFonts w:ascii="Palatino Linotype" w:hAnsi="Palatino Linotype" w:cs="Arial"/>
          <w:b/>
          <w:sz w:val="28"/>
          <w:szCs w:val="28"/>
        </w:rPr>
      </w:pPr>
      <w:r w:rsidRPr="003565EB">
        <w:rPr>
          <w:noProof/>
          <w:lang w:eastAsia="es-MX"/>
        </w:rPr>
        <w:lastRenderedPageBreak/>
        <w:drawing>
          <wp:inline distT="0" distB="0" distL="0" distR="0" wp14:anchorId="3393EE55" wp14:editId="4C98577D">
            <wp:extent cx="5449737" cy="76222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641" t="15089" r="34610" b="8417"/>
                    <a:stretch/>
                  </pic:blipFill>
                  <pic:spPr bwMode="auto">
                    <a:xfrm>
                      <a:off x="0" y="0"/>
                      <a:ext cx="5504516" cy="7698892"/>
                    </a:xfrm>
                    <a:prstGeom prst="rect">
                      <a:avLst/>
                    </a:prstGeom>
                    <a:ln>
                      <a:noFill/>
                    </a:ln>
                    <a:extLst>
                      <a:ext uri="{53640926-AAD7-44D8-BBD7-CCE9431645EC}">
                        <a14:shadowObscured xmlns:a14="http://schemas.microsoft.com/office/drawing/2010/main"/>
                      </a:ext>
                    </a:extLst>
                  </pic:spPr>
                </pic:pic>
              </a:graphicData>
            </a:graphic>
          </wp:inline>
        </w:drawing>
      </w:r>
    </w:p>
    <w:p w:rsidR="00375624" w:rsidRPr="003565EB" w:rsidRDefault="001B1C92" w:rsidP="005B2CC7">
      <w:pPr>
        <w:pStyle w:val="Prrafodelista"/>
        <w:spacing w:before="100" w:beforeAutospacing="1" w:after="100" w:afterAutospacing="1" w:line="360" w:lineRule="auto"/>
        <w:ind w:left="0"/>
        <w:contextualSpacing w:val="0"/>
        <w:jc w:val="center"/>
        <w:rPr>
          <w:rFonts w:ascii="Palatino Linotype" w:hAnsi="Palatino Linotype" w:cs="Arial"/>
          <w:b/>
          <w:sz w:val="28"/>
          <w:szCs w:val="28"/>
        </w:rPr>
      </w:pPr>
      <w:r>
        <w:rPr>
          <w:noProof/>
          <w:lang w:eastAsia="es-MX"/>
        </w:rPr>
        <w:lastRenderedPageBreak/>
        <w:drawing>
          <wp:inline distT="0" distB="0" distL="0" distR="0" wp14:anchorId="6B69290E" wp14:editId="59A04A2D">
            <wp:extent cx="5622524" cy="7315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235" t="21366" r="36142" b="17062"/>
                    <a:stretch/>
                  </pic:blipFill>
                  <pic:spPr bwMode="auto">
                    <a:xfrm>
                      <a:off x="0" y="0"/>
                      <a:ext cx="5648063" cy="7348428"/>
                    </a:xfrm>
                    <a:prstGeom prst="rect">
                      <a:avLst/>
                    </a:prstGeom>
                    <a:ln>
                      <a:noFill/>
                    </a:ln>
                    <a:extLst>
                      <a:ext uri="{53640926-AAD7-44D8-BBD7-CCE9431645EC}">
                        <a14:shadowObscured xmlns:a14="http://schemas.microsoft.com/office/drawing/2010/main"/>
                      </a:ext>
                    </a:extLst>
                  </pic:spPr>
                </pic:pic>
              </a:graphicData>
            </a:graphic>
          </wp:inline>
        </w:drawing>
      </w:r>
    </w:p>
    <w:p w:rsidR="003F21F9" w:rsidRPr="003565EB" w:rsidRDefault="003F21F9" w:rsidP="003F21F9">
      <w:pPr>
        <w:pStyle w:val="Prrafodelista"/>
        <w:spacing w:before="100" w:beforeAutospacing="1" w:after="100" w:afterAutospacing="1" w:line="360" w:lineRule="auto"/>
        <w:ind w:left="0"/>
        <w:contextualSpacing w:val="0"/>
        <w:jc w:val="both"/>
        <w:rPr>
          <w:rFonts w:ascii="Palatino Linotype" w:hAnsi="Palatino Linotype" w:cs="Arial"/>
        </w:rPr>
      </w:pPr>
      <w:r w:rsidRPr="003565EB">
        <w:rPr>
          <w:rFonts w:ascii="Palatino Linotype" w:hAnsi="Palatino Linotype" w:cs="Arial"/>
          <w:b/>
          <w:sz w:val="28"/>
          <w:szCs w:val="28"/>
        </w:rPr>
        <w:lastRenderedPageBreak/>
        <w:t>I</w:t>
      </w:r>
      <w:r w:rsidR="00375624" w:rsidRPr="003565EB">
        <w:rPr>
          <w:rFonts w:ascii="Palatino Linotype" w:hAnsi="Palatino Linotype" w:cs="Arial"/>
          <w:b/>
          <w:sz w:val="28"/>
          <w:szCs w:val="28"/>
        </w:rPr>
        <w:t>X</w:t>
      </w:r>
      <w:r w:rsidRPr="003565EB">
        <w:rPr>
          <w:rFonts w:ascii="Palatino Linotype" w:hAnsi="Palatino Linotype" w:cs="Arial"/>
          <w:b/>
          <w:sz w:val="28"/>
          <w:szCs w:val="28"/>
        </w:rPr>
        <w:t>.</w:t>
      </w:r>
      <w:r w:rsidRPr="003565EB">
        <w:rPr>
          <w:rFonts w:ascii="Palatino Linotype" w:hAnsi="Palatino Linotype" w:cs="Arial"/>
        </w:rPr>
        <w:t xml:space="preserve"> Una vez analizado el estado procesal que guardaba el expediente, el </w:t>
      </w:r>
      <w:r w:rsidR="00375624" w:rsidRPr="003565EB">
        <w:rPr>
          <w:rFonts w:ascii="Palatino Linotype" w:hAnsi="Palatino Linotype" w:cs="Arial"/>
        </w:rPr>
        <w:t>once de marzo</w:t>
      </w:r>
      <w:r w:rsidRPr="003565EB">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rsidR="003F21F9" w:rsidRPr="003565EB" w:rsidRDefault="003F21F9" w:rsidP="003F21F9">
      <w:pPr>
        <w:spacing w:before="100" w:beforeAutospacing="1" w:after="100" w:afterAutospacing="1" w:line="360" w:lineRule="auto"/>
        <w:jc w:val="center"/>
        <w:rPr>
          <w:rFonts w:ascii="Palatino Linotype" w:hAnsi="Palatino Linotype"/>
          <w:b/>
          <w:bCs/>
          <w:spacing w:val="60"/>
          <w:sz w:val="28"/>
        </w:rPr>
      </w:pPr>
      <w:r w:rsidRPr="003565EB">
        <w:rPr>
          <w:rFonts w:ascii="Palatino Linotype" w:hAnsi="Palatino Linotype"/>
          <w:b/>
          <w:bCs/>
          <w:spacing w:val="60"/>
          <w:sz w:val="28"/>
        </w:rPr>
        <w:t>CONSIDERANDO</w:t>
      </w:r>
    </w:p>
    <w:p w:rsidR="003F21F9" w:rsidRPr="003565EB" w:rsidRDefault="003F21F9" w:rsidP="003F21F9">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3565EB">
        <w:rPr>
          <w:rFonts w:ascii="Palatino Linotype" w:hAnsi="Palatino Linotype"/>
          <w:b/>
          <w:sz w:val="28"/>
          <w:szCs w:val="28"/>
        </w:rPr>
        <w:t>PRIMERO.</w:t>
      </w:r>
      <w:r w:rsidRPr="003565EB">
        <w:rPr>
          <w:rFonts w:ascii="Palatino Linotype" w:hAnsi="Palatino Linotype"/>
        </w:rPr>
        <w:t xml:space="preserve"> </w:t>
      </w:r>
      <w:r w:rsidRPr="003565EB">
        <w:rPr>
          <w:rFonts w:ascii="Palatino Linotype" w:hAnsi="Palatino Linotype"/>
          <w:b/>
        </w:rPr>
        <w:t>Competencia</w:t>
      </w:r>
      <w:r w:rsidRPr="003565EB">
        <w:rPr>
          <w:rFonts w:ascii="Palatino Linotype" w:hAnsi="Palatino Linotype"/>
        </w:rPr>
        <w:t>.</w:t>
      </w:r>
      <w:r w:rsidRPr="003565EB">
        <w:rPr>
          <w:rFonts w:ascii="Palatino Linotype" w:hAnsi="Palatino Linotype"/>
          <w:b/>
        </w:rPr>
        <w:t xml:space="preserve"> </w:t>
      </w:r>
      <w:r w:rsidRPr="003565EB">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3565EB">
        <w:rPr>
          <w:rFonts w:ascii="Palatino Linotype" w:hAnsi="Palatino Linotype" w:cs="Arial"/>
        </w:rPr>
        <w:t xml:space="preserve">; </w:t>
      </w:r>
      <w:r w:rsidRPr="003565EB">
        <w:rPr>
          <w:rFonts w:ascii="Palatino Linotype" w:hAnsi="Palatino Linotype"/>
        </w:rPr>
        <w:t xml:space="preserve">9, fracciones I, XXIV y 11 </w:t>
      </w:r>
      <w:r w:rsidRPr="003565EB">
        <w:rPr>
          <w:rFonts w:ascii="Palatino Linotype" w:hAnsi="Palatino Linotype" w:cs="Arial"/>
        </w:rPr>
        <w:t>del Reglamento Interior del Instituto de Transparencia, Acceso a la Información Pública y Protección de Datos Personales del Estado de México y Municipios; toda vez que se trata de un recurso de revisión interpuesto por una Ciudadana en ejercicio de su derecho de acceso a la información pública, en términos de la Ley de la materia.</w:t>
      </w:r>
    </w:p>
    <w:p w:rsidR="003F21F9" w:rsidRPr="003565EB" w:rsidRDefault="003F21F9" w:rsidP="003F21F9">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rPr>
      </w:pPr>
      <w:r w:rsidRPr="003565EB">
        <w:rPr>
          <w:rFonts w:ascii="Palatino Linotype" w:hAnsi="Palatino Linotype" w:cs="Arial"/>
          <w:b/>
          <w:sz w:val="28"/>
          <w:szCs w:val="28"/>
        </w:rPr>
        <w:t>SEGUNDO.</w:t>
      </w:r>
      <w:r w:rsidRPr="003565EB">
        <w:rPr>
          <w:rFonts w:ascii="Palatino Linotype" w:hAnsi="Palatino Linotype" w:cs="Arial"/>
          <w:b/>
        </w:rPr>
        <w:t xml:space="preserve"> Interés.</w:t>
      </w:r>
      <w:r w:rsidRPr="003565EB">
        <w:rPr>
          <w:rFonts w:ascii="Palatino Linotype" w:hAnsi="Palatino Linotype" w:cs="Arial"/>
        </w:rPr>
        <w:t xml:space="preserve"> El recurso de revisión se interpuesto por parte legítima en atención a que fue presentado por </w:t>
      </w:r>
      <w:r w:rsidRPr="003565EB">
        <w:rPr>
          <w:rFonts w:ascii="Palatino Linotype" w:hAnsi="Palatino Linotype" w:cs="Arial"/>
          <w:b/>
        </w:rPr>
        <w:t>LA RECURRENTE</w:t>
      </w:r>
      <w:r w:rsidRPr="003565EB">
        <w:rPr>
          <w:rFonts w:ascii="Palatino Linotype" w:hAnsi="Palatino Linotype" w:cs="Arial"/>
          <w:snapToGrid w:val="0"/>
        </w:rPr>
        <w:t xml:space="preserve">, quien </w:t>
      </w:r>
      <w:r w:rsidRPr="003565EB">
        <w:rPr>
          <w:rFonts w:ascii="Palatino Linotype" w:hAnsi="Palatino Linotype"/>
        </w:rPr>
        <w:t>es</w:t>
      </w:r>
      <w:r w:rsidRPr="003565EB">
        <w:rPr>
          <w:rFonts w:ascii="Palatino Linotype" w:hAnsi="Palatino Linotype" w:cs="Arial"/>
          <w:snapToGrid w:val="0"/>
        </w:rPr>
        <w:t xml:space="preserve"> la misma persona que formuló la solicitud de acceso a la </w:t>
      </w:r>
      <w:r w:rsidRPr="003565EB">
        <w:rPr>
          <w:rFonts w:ascii="Palatino Linotype" w:hAnsi="Palatino Linotype"/>
        </w:rPr>
        <w:t>información</w:t>
      </w:r>
      <w:r w:rsidRPr="003565EB">
        <w:rPr>
          <w:rFonts w:ascii="Palatino Linotype" w:hAnsi="Palatino Linotype" w:cs="Arial"/>
          <w:snapToGrid w:val="0"/>
        </w:rPr>
        <w:t xml:space="preserve"> pública al</w:t>
      </w:r>
      <w:r w:rsidRPr="003565EB">
        <w:rPr>
          <w:rFonts w:ascii="Palatino Linotype" w:hAnsi="Palatino Linotype" w:cs="Arial"/>
          <w:b/>
          <w:snapToGrid w:val="0"/>
        </w:rPr>
        <w:t xml:space="preserve"> SUJETO OBLIGADO</w:t>
      </w:r>
      <w:r w:rsidRPr="003565EB">
        <w:rPr>
          <w:rFonts w:ascii="Palatino Linotype" w:hAnsi="Palatino Linotype" w:cs="Arial"/>
        </w:rPr>
        <w:t>.</w:t>
      </w:r>
    </w:p>
    <w:p w:rsidR="00375624" w:rsidRPr="003565EB" w:rsidRDefault="003F21F9" w:rsidP="00375624">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lang w:val="es-ES_tradnl"/>
        </w:rPr>
      </w:pPr>
      <w:r w:rsidRPr="003565EB">
        <w:rPr>
          <w:rFonts w:ascii="Palatino Linotype" w:hAnsi="Palatino Linotype" w:cs="Arial"/>
          <w:b/>
          <w:sz w:val="28"/>
          <w:szCs w:val="28"/>
        </w:rPr>
        <w:lastRenderedPageBreak/>
        <w:t>TERCERO.</w:t>
      </w:r>
      <w:r w:rsidRPr="003565EB">
        <w:rPr>
          <w:rFonts w:ascii="Palatino Linotype" w:hAnsi="Palatino Linotype" w:cs="Arial"/>
          <w:b/>
        </w:rPr>
        <w:t xml:space="preserve"> </w:t>
      </w:r>
      <w:r w:rsidRPr="003565EB">
        <w:rPr>
          <w:rFonts w:ascii="Palatino Linotype" w:hAnsi="Palatino Linotype" w:cs="Arial"/>
          <w:b/>
          <w:color w:val="000000"/>
        </w:rPr>
        <w:t xml:space="preserve">Oportunidad. </w:t>
      </w:r>
      <w:r w:rsidR="00375624" w:rsidRPr="003565EB">
        <w:rPr>
          <w:rFonts w:ascii="Palatino Linotype" w:hAnsi="Palatino Linotype" w:cs="Arial"/>
        </w:rPr>
        <w:t xml:space="preserve">El recurso de revisión fue interpuesto dentro del plazo de quince días hábiles </w:t>
      </w:r>
      <w:r w:rsidR="00375624" w:rsidRPr="003565EB">
        <w:rPr>
          <w:rFonts w:ascii="Palatino Linotype" w:hAnsi="Palatino Linotype"/>
        </w:rPr>
        <w:t>contados</w:t>
      </w:r>
      <w:r w:rsidR="00375624" w:rsidRPr="003565EB">
        <w:rPr>
          <w:rFonts w:ascii="Palatino Linotype" w:hAnsi="Palatino Linotype" w:cs="Arial"/>
        </w:rPr>
        <w:t xml:space="preserve"> a </w:t>
      </w:r>
      <w:r w:rsidR="00375624" w:rsidRPr="003565EB">
        <w:rPr>
          <w:rFonts w:ascii="Palatino Linotype" w:hAnsi="Palatino Linotype"/>
        </w:rPr>
        <w:t>partir</w:t>
      </w:r>
      <w:r w:rsidR="00375624" w:rsidRPr="003565EB">
        <w:rPr>
          <w:rFonts w:ascii="Palatino Linotype" w:hAnsi="Palatino Linotype" w:cs="Arial"/>
        </w:rPr>
        <w:t xml:space="preserve"> del día siguiente al que </w:t>
      </w:r>
      <w:r w:rsidR="00375624" w:rsidRPr="003565EB">
        <w:rPr>
          <w:rFonts w:ascii="Palatino Linotype" w:hAnsi="Palatino Linotype" w:cs="Arial"/>
          <w:b/>
          <w:bCs/>
        </w:rPr>
        <w:t xml:space="preserve">LA RECURRENTE </w:t>
      </w:r>
      <w:r w:rsidR="00375624" w:rsidRPr="003565E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375624" w:rsidRPr="003565EB" w:rsidRDefault="00375624" w:rsidP="00375624">
      <w:pPr>
        <w:ind w:left="851" w:right="902"/>
        <w:jc w:val="both"/>
        <w:rPr>
          <w:rFonts w:ascii="Palatino Linotype" w:hAnsi="Palatino Linotype" w:cs="Arial"/>
          <w:i/>
          <w:sz w:val="22"/>
          <w:szCs w:val="22"/>
        </w:rPr>
      </w:pPr>
      <w:r w:rsidRPr="003565EB">
        <w:rPr>
          <w:rFonts w:ascii="Palatino Linotype" w:hAnsi="Palatino Linotype" w:cs="Arial"/>
          <w:i/>
          <w:sz w:val="22"/>
          <w:szCs w:val="22"/>
        </w:rPr>
        <w:t>“</w:t>
      </w:r>
      <w:r w:rsidRPr="003565EB">
        <w:rPr>
          <w:rFonts w:ascii="Palatino Linotype" w:hAnsi="Palatino Linotype" w:cs="Arial"/>
          <w:b/>
          <w:i/>
          <w:sz w:val="22"/>
          <w:szCs w:val="22"/>
        </w:rPr>
        <w:t>Artículo 178.</w:t>
      </w:r>
      <w:r w:rsidRPr="003565E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75624" w:rsidRPr="003565EB" w:rsidRDefault="00375624" w:rsidP="00375624">
      <w:pPr>
        <w:ind w:left="851" w:right="902"/>
        <w:jc w:val="both"/>
        <w:rPr>
          <w:rFonts w:ascii="Palatino Linotype" w:hAnsi="Palatino Linotype" w:cs="Arial"/>
          <w:i/>
          <w:sz w:val="22"/>
          <w:szCs w:val="22"/>
        </w:rPr>
      </w:pPr>
      <w:r w:rsidRPr="003565E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375624" w:rsidRPr="003565EB" w:rsidRDefault="00375624" w:rsidP="00375624">
      <w:pPr>
        <w:ind w:left="851" w:right="902"/>
        <w:jc w:val="both"/>
        <w:rPr>
          <w:rFonts w:ascii="Palatino Linotype" w:hAnsi="Palatino Linotype" w:cs="Arial"/>
          <w:i/>
          <w:sz w:val="22"/>
          <w:szCs w:val="22"/>
        </w:rPr>
      </w:pPr>
      <w:r w:rsidRPr="003565EB">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3565EB">
        <w:rPr>
          <w:rFonts w:ascii="Palatino Linotype" w:hAnsi="Palatino Linotype" w:cs="Arial"/>
          <w:i/>
          <w:sz w:val="22"/>
          <w:szCs w:val="22"/>
          <w:lang w:eastAsia="es-MX"/>
        </w:rPr>
        <w:t>siguiente</w:t>
      </w:r>
      <w:r w:rsidRPr="003565EB">
        <w:rPr>
          <w:rFonts w:ascii="Palatino Linotype" w:hAnsi="Palatino Linotype" w:cs="Arial"/>
          <w:i/>
          <w:sz w:val="22"/>
          <w:szCs w:val="22"/>
        </w:rPr>
        <w:t xml:space="preserve"> de haberlo recibido.”</w:t>
      </w:r>
    </w:p>
    <w:p w:rsidR="00375624" w:rsidRPr="003565EB" w:rsidRDefault="00375624" w:rsidP="00375624">
      <w:pPr>
        <w:spacing w:before="100" w:beforeAutospacing="1" w:after="100" w:afterAutospacing="1" w:line="360" w:lineRule="auto"/>
        <w:jc w:val="both"/>
        <w:rPr>
          <w:rFonts w:ascii="Palatino Linotype" w:hAnsi="Palatino Linotype" w:cs="Arial"/>
          <w:lang w:val="es-ES_tradnl"/>
        </w:rPr>
      </w:pPr>
      <w:r w:rsidRPr="003565EB">
        <w:rPr>
          <w:rFonts w:ascii="Palatino Linotype" w:hAnsi="Palatino Linotype" w:cs="Arial"/>
        </w:rPr>
        <w:t xml:space="preserve">En esa tesitura, atendiendo a que </w:t>
      </w:r>
      <w:r w:rsidRPr="003565EB">
        <w:rPr>
          <w:rFonts w:ascii="Palatino Linotype" w:hAnsi="Palatino Linotype" w:cs="Arial"/>
          <w:b/>
        </w:rPr>
        <w:t>EL SUJETO OBLIGADO</w:t>
      </w:r>
      <w:r w:rsidRPr="003565EB">
        <w:rPr>
          <w:rFonts w:ascii="Palatino Linotype" w:hAnsi="Palatino Linotype" w:cs="Arial"/>
        </w:rPr>
        <w:t xml:space="preserve"> notificó la respuesta a la solicitud de información pública el día </w:t>
      </w:r>
      <w:r w:rsidRPr="003565EB">
        <w:rPr>
          <w:rFonts w:ascii="Palatino Linotype" w:hAnsi="Palatino Linotype" w:cs="Arial"/>
          <w:b/>
        </w:rPr>
        <w:t>dieciocho de febrero de dos mil diecinueve</w:t>
      </w:r>
      <w:r w:rsidRPr="003565EB">
        <w:rPr>
          <w:rFonts w:ascii="Palatino Linotype" w:hAnsi="Palatino Linotype" w:cs="Arial"/>
        </w:rPr>
        <w:t>; así, el plazo de quince días hábiles que el artículo 178 de la Ley de la materia otorga al hoy</w:t>
      </w:r>
      <w:r w:rsidRPr="003565EB">
        <w:rPr>
          <w:rFonts w:ascii="Palatino Linotype" w:hAnsi="Palatino Linotype" w:cs="Arial"/>
          <w:b/>
        </w:rPr>
        <w:t xml:space="preserve"> RECURRENTE </w:t>
      </w:r>
      <w:r w:rsidRPr="003565EB">
        <w:rPr>
          <w:rFonts w:ascii="Palatino Linotype" w:hAnsi="Palatino Linotype" w:cs="Arial"/>
        </w:rPr>
        <w:t xml:space="preserve">para presentar el recurso de revisión, transcurrió del </w:t>
      </w:r>
      <w:r w:rsidRPr="003565EB">
        <w:rPr>
          <w:rFonts w:ascii="Palatino Linotype" w:hAnsi="Palatino Linotype" w:cs="Arial"/>
          <w:b/>
        </w:rPr>
        <w:t>diecinueve de febrero al doce de marzo de dos mil diecinueve</w:t>
      </w:r>
      <w:r w:rsidRPr="003565EB">
        <w:rPr>
          <w:rFonts w:ascii="Palatino Linotype" w:hAnsi="Palatino Linotype" w:cs="Arial"/>
        </w:rPr>
        <w:t xml:space="preserve">, sin contemplar en el cómputo los días veintitrés y veinticuatro de febrero; dos, tres, nueve y diez de marzo de dos mil diecinueve, por corresponder a sábados y domingos, considerados como días inhábiles, en términos del artículo 3, fracción X de la </w:t>
      </w:r>
      <w:r w:rsidRPr="003565EB">
        <w:rPr>
          <w:rFonts w:ascii="Palatino Linotype" w:hAnsi="Palatino Linotype"/>
        </w:rPr>
        <w:t xml:space="preserve">Ley de Transparencia y Acceso a la Información Pública del Estado de México y Municipios; así como, el día uno de marzo de dos mil diecinueve; por corresponder a un día de suspensión de labores, de conformidad con el Calendario Oficial de este Instituto, publicado en el Periódico </w:t>
      </w:r>
      <w:r w:rsidRPr="003565EB">
        <w:rPr>
          <w:rFonts w:ascii="Palatino Linotype" w:hAnsi="Palatino Linotype"/>
        </w:rPr>
        <w:lastRenderedPageBreak/>
        <w:t>Oficial del Estado Libre y Soberano de México “Gaceta del Gobierno”, el diecinueve de diciembre del año dos mil dieciocho.</w:t>
      </w:r>
    </w:p>
    <w:p w:rsidR="003F21F9" w:rsidRPr="003565EB" w:rsidRDefault="00375624" w:rsidP="00375624">
      <w:pPr>
        <w:spacing w:before="100" w:beforeAutospacing="1" w:after="100" w:afterAutospacing="1" w:line="360" w:lineRule="auto"/>
        <w:ind w:right="49"/>
        <w:jc w:val="both"/>
        <w:rPr>
          <w:rFonts w:ascii="Palatino Linotype" w:hAnsi="Palatino Linotype" w:cs="Arial"/>
          <w:b/>
          <w:i/>
        </w:rPr>
      </w:pPr>
      <w:r w:rsidRPr="003565EB">
        <w:rPr>
          <w:rFonts w:ascii="Palatino Linotype" w:hAnsi="Palatino Linotype" w:cs="Arial"/>
        </w:rPr>
        <w:t>En ese tenor, si el recurso de revisión que nos ocupa, se interpuso el día</w:t>
      </w:r>
      <w:r w:rsidRPr="003565EB">
        <w:rPr>
          <w:rFonts w:ascii="Palatino Linotype" w:hAnsi="Palatino Linotype" w:cs="Arial"/>
          <w:b/>
        </w:rPr>
        <w:t xml:space="preserve"> veinte de febrero de dos mil diecinueve, </w:t>
      </w:r>
      <w:r w:rsidRPr="003565EB">
        <w:rPr>
          <w:rFonts w:ascii="Palatino Linotype" w:hAnsi="Palatino Linotype" w:cs="Arial"/>
        </w:rPr>
        <w:t>éste se encuentra dentro de los márgenes temporales previstos en el precepto legal señalado en el párrafo anterior y, por tanto, su interposición se considera oportuna.</w:t>
      </w:r>
    </w:p>
    <w:p w:rsidR="003F21F9" w:rsidRPr="003565EB" w:rsidRDefault="003F21F9" w:rsidP="003F21F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3565EB">
        <w:rPr>
          <w:rFonts w:ascii="Palatino Linotype" w:hAnsi="Palatino Linotype" w:cs="Arial"/>
          <w:b/>
          <w:sz w:val="28"/>
          <w:szCs w:val="28"/>
        </w:rPr>
        <w:t>CUARTO</w:t>
      </w:r>
      <w:r w:rsidRPr="003565EB">
        <w:rPr>
          <w:rFonts w:ascii="Palatino Linotype" w:hAnsi="Palatino Linotype"/>
          <w:b/>
          <w:sz w:val="28"/>
          <w:szCs w:val="28"/>
        </w:rPr>
        <w:t>.</w:t>
      </w:r>
      <w:r w:rsidRPr="003565EB">
        <w:rPr>
          <w:rFonts w:ascii="Palatino Linotype" w:hAnsi="Palatino Linotype"/>
          <w:b/>
        </w:rPr>
        <w:t xml:space="preserve"> Procedibilidad. </w:t>
      </w:r>
      <w:r w:rsidRPr="003565EB">
        <w:rPr>
          <w:rFonts w:ascii="Palatino Linotype" w:hAnsi="Palatino Linotype" w:cs="Arial"/>
        </w:rPr>
        <w:t xml:space="preserve">Esta Ponencia considera importante abordar el análisis de los requisitos de procedibilidad del recurso de revisión, así que, el artículo 180 de la </w:t>
      </w:r>
      <w:r w:rsidRPr="003565EB">
        <w:rPr>
          <w:rFonts w:ascii="Palatino Linotype" w:hAnsi="Palatino Linotype" w:cs="Arial"/>
          <w:lang w:eastAsia="es-MX"/>
        </w:rPr>
        <w:t xml:space="preserve">Ley de Transparencia y Acceso a la </w:t>
      </w:r>
      <w:r w:rsidRPr="003565EB">
        <w:rPr>
          <w:rFonts w:ascii="Palatino Linotype" w:hAnsi="Palatino Linotype" w:cs="Arial"/>
        </w:rPr>
        <w:t>Información</w:t>
      </w:r>
      <w:r w:rsidRPr="003565EB">
        <w:rPr>
          <w:rFonts w:ascii="Palatino Linotype" w:hAnsi="Palatino Linotype" w:cs="Arial"/>
          <w:lang w:eastAsia="es-MX"/>
        </w:rPr>
        <w:t xml:space="preserve"> Pública del Estado de México y Municipios, </w:t>
      </w:r>
      <w:r w:rsidRPr="003565EB">
        <w:rPr>
          <w:rFonts w:ascii="Palatino Linotype" w:hAnsi="Palatino Linotype" w:cs="Arial"/>
        </w:rPr>
        <w:t>establece lo siguiente:</w:t>
      </w:r>
    </w:p>
    <w:p w:rsidR="003F21F9" w:rsidRPr="003565EB" w:rsidRDefault="003F21F9" w:rsidP="003F21F9">
      <w:pPr>
        <w:ind w:left="851" w:right="902"/>
        <w:jc w:val="both"/>
        <w:rPr>
          <w:rFonts w:ascii="Palatino Linotype" w:hAnsi="Palatino Linotype"/>
          <w:b/>
          <w:i/>
          <w:sz w:val="22"/>
          <w:szCs w:val="22"/>
        </w:rPr>
      </w:pPr>
      <w:r w:rsidRPr="003565EB">
        <w:rPr>
          <w:rFonts w:ascii="Palatino Linotype" w:hAnsi="Palatino Linotype"/>
          <w:b/>
          <w:i/>
          <w:sz w:val="22"/>
          <w:szCs w:val="22"/>
        </w:rPr>
        <w:t xml:space="preserve">Artículo 180. </w:t>
      </w:r>
      <w:r w:rsidRPr="003565EB">
        <w:rPr>
          <w:rFonts w:ascii="Palatino Linotype" w:hAnsi="Palatino Linotype"/>
          <w:i/>
          <w:sz w:val="22"/>
          <w:szCs w:val="22"/>
        </w:rPr>
        <w:t xml:space="preserve">El </w:t>
      </w:r>
      <w:r w:rsidRPr="003565EB">
        <w:rPr>
          <w:rFonts w:ascii="Palatino Linotype" w:hAnsi="Palatino Linotype" w:cs="Arial"/>
          <w:i/>
          <w:sz w:val="22"/>
          <w:szCs w:val="22"/>
        </w:rPr>
        <w:t>recurso</w:t>
      </w:r>
      <w:r w:rsidRPr="003565EB">
        <w:rPr>
          <w:rFonts w:ascii="Palatino Linotype" w:hAnsi="Palatino Linotype"/>
          <w:i/>
          <w:sz w:val="22"/>
          <w:szCs w:val="22"/>
        </w:rPr>
        <w:t xml:space="preserve"> </w:t>
      </w:r>
      <w:r w:rsidRPr="003565EB">
        <w:rPr>
          <w:rFonts w:ascii="Palatino Linotype" w:hAnsi="Palatino Linotype" w:cs="Arial"/>
          <w:i/>
          <w:color w:val="222222"/>
          <w:sz w:val="22"/>
          <w:szCs w:val="22"/>
          <w:lang w:eastAsia="es-MX"/>
        </w:rPr>
        <w:t>de</w:t>
      </w:r>
      <w:r w:rsidRPr="003565EB">
        <w:rPr>
          <w:rFonts w:ascii="Palatino Linotype" w:hAnsi="Palatino Linotype"/>
          <w:i/>
          <w:sz w:val="22"/>
          <w:szCs w:val="22"/>
        </w:rPr>
        <w:t xml:space="preserve"> revisión contendrá:</w:t>
      </w:r>
      <w:r w:rsidRPr="003565EB">
        <w:rPr>
          <w:rFonts w:ascii="Palatino Linotype" w:hAnsi="Palatino Linotype"/>
          <w:b/>
          <w:i/>
          <w:sz w:val="22"/>
          <w:szCs w:val="22"/>
        </w:rPr>
        <w:t xml:space="preserve"> </w:t>
      </w:r>
    </w:p>
    <w:p w:rsidR="003F21F9" w:rsidRPr="003565EB" w:rsidRDefault="003F21F9" w:rsidP="003F21F9">
      <w:pPr>
        <w:ind w:left="851" w:right="902"/>
        <w:jc w:val="both"/>
        <w:rPr>
          <w:rFonts w:ascii="Palatino Linotype" w:hAnsi="Palatino Linotype"/>
          <w:b/>
          <w:i/>
          <w:sz w:val="22"/>
          <w:szCs w:val="22"/>
        </w:rPr>
      </w:pPr>
      <w:r w:rsidRPr="003565EB">
        <w:rPr>
          <w:rFonts w:ascii="Palatino Linotype" w:hAnsi="Palatino Linotype"/>
          <w:b/>
          <w:i/>
          <w:sz w:val="22"/>
          <w:szCs w:val="22"/>
        </w:rPr>
        <w:t xml:space="preserve">I. </w:t>
      </w:r>
      <w:r w:rsidRPr="003565EB">
        <w:rPr>
          <w:rFonts w:ascii="Palatino Linotype" w:hAnsi="Palatino Linotype"/>
          <w:i/>
          <w:sz w:val="22"/>
          <w:szCs w:val="22"/>
        </w:rPr>
        <w:t xml:space="preserve">El sujeto obligado ante </w:t>
      </w:r>
      <w:r w:rsidRPr="003565EB">
        <w:rPr>
          <w:rFonts w:ascii="Palatino Linotype" w:hAnsi="Palatino Linotype" w:cs="Arial"/>
          <w:i/>
          <w:sz w:val="22"/>
          <w:szCs w:val="22"/>
        </w:rPr>
        <w:t>la</w:t>
      </w:r>
      <w:r w:rsidRPr="003565EB">
        <w:rPr>
          <w:rFonts w:ascii="Palatino Linotype" w:hAnsi="Palatino Linotype"/>
          <w:i/>
          <w:sz w:val="22"/>
          <w:szCs w:val="22"/>
        </w:rPr>
        <w:t xml:space="preserve"> cual </w:t>
      </w:r>
      <w:r w:rsidRPr="003565EB">
        <w:rPr>
          <w:rFonts w:ascii="Palatino Linotype" w:hAnsi="Palatino Linotype" w:cs="Arial"/>
          <w:i/>
          <w:color w:val="222222"/>
          <w:sz w:val="22"/>
          <w:szCs w:val="22"/>
          <w:lang w:eastAsia="es-MX"/>
        </w:rPr>
        <w:t>se</w:t>
      </w:r>
      <w:r w:rsidRPr="003565EB">
        <w:rPr>
          <w:rFonts w:ascii="Palatino Linotype" w:hAnsi="Palatino Linotype"/>
          <w:i/>
          <w:sz w:val="22"/>
          <w:szCs w:val="22"/>
        </w:rPr>
        <w:t xml:space="preserve"> presentó la solicitud;</w:t>
      </w:r>
      <w:r w:rsidRPr="003565EB">
        <w:rPr>
          <w:rFonts w:ascii="Palatino Linotype" w:hAnsi="Palatino Linotype"/>
          <w:b/>
          <w:i/>
          <w:sz w:val="22"/>
          <w:szCs w:val="22"/>
        </w:rPr>
        <w:t xml:space="preserve"> </w:t>
      </w:r>
    </w:p>
    <w:p w:rsidR="003F21F9" w:rsidRPr="003565EB" w:rsidRDefault="003F21F9" w:rsidP="003F21F9">
      <w:pPr>
        <w:ind w:left="851" w:right="902"/>
        <w:jc w:val="both"/>
        <w:rPr>
          <w:rFonts w:ascii="Palatino Linotype" w:hAnsi="Palatino Linotype"/>
          <w:b/>
          <w:i/>
          <w:sz w:val="22"/>
          <w:szCs w:val="22"/>
        </w:rPr>
      </w:pPr>
      <w:r w:rsidRPr="003565EB">
        <w:rPr>
          <w:rFonts w:ascii="Palatino Linotype" w:hAnsi="Palatino Linotype"/>
          <w:b/>
          <w:i/>
          <w:sz w:val="22"/>
          <w:szCs w:val="22"/>
        </w:rPr>
        <w:t xml:space="preserve">II. El nombre del solicitante </w:t>
      </w:r>
      <w:r w:rsidRPr="003565EB">
        <w:rPr>
          <w:rFonts w:ascii="Palatino Linotype" w:hAnsi="Palatino Linotype" w:cs="Arial"/>
          <w:b/>
          <w:i/>
          <w:color w:val="222222"/>
          <w:sz w:val="22"/>
          <w:szCs w:val="22"/>
          <w:lang w:eastAsia="es-MX"/>
        </w:rPr>
        <w:t>que</w:t>
      </w:r>
      <w:r w:rsidRPr="003565EB">
        <w:rPr>
          <w:rFonts w:ascii="Palatino Linotype" w:hAnsi="Palatino Linotype"/>
          <w:b/>
          <w:i/>
          <w:sz w:val="22"/>
          <w:szCs w:val="22"/>
        </w:rPr>
        <w:t xml:space="preserve"> recurre </w:t>
      </w:r>
      <w:r w:rsidRPr="003565EB">
        <w:rPr>
          <w:rFonts w:ascii="Palatino Linotype" w:hAnsi="Palatino Linotype"/>
          <w:i/>
          <w:sz w:val="22"/>
          <w:szCs w:val="22"/>
        </w:rPr>
        <w:t>o de su representante y, en su caso, del tercero interesado, así como la dirección o medio que señale para recibir notificaciones;</w:t>
      </w:r>
      <w:r w:rsidRPr="003565EB">
        <w:rPr>
          <w:rFonts w:ascii="Palatino Linotype" w:hAnsi="Palatino Linotype"/>
          <w:b/>
          <w:i/>
          <w:sz w:val="22"/>
          <w:szCs w:val="22"/>
        </w:rPr>
        <w:t xml:space="preserve"> </w:t>
      </w:r>
    </w:p>
    <w:p w:rsidR="003F21F9" w:rsidRPr="003565EB" w:rsidRDefault="003F21F9" w:rsidP="003F21F9">
      <w:pPr>
        <w:ind w:left="851" w:right="902"/>
        <w:jc w:val="both"/>
        <w:rPr>
          <w:rFonts w:ascii="Palatino Linotype" w:hAnsi="Palatino Linotype"/>
          <w:b/>
          <w:i/>
          <w:sz w:val="22"/>
          <w:szCs w:val="22"/>
        </w:rPr>
      </w:pPr>
      <w:r w:rsidRPr="003565EB">
        <w:rPr>
          <w:rFonts w:ascii="Palatino Linotype" w:hAnsi="Palatino Linotype"/>
          <w:b/>
          <w:i/>
          <w:sz w:val="22"/>
          <w:szCs w:val="22"/>
        </w:rPr>
        <w:t xml:space="preserve">III. </w:t>
      </w:r>
      <w:r w:rsidRPr="003565EB">
        <w:rPr>
          <w:rFonts w:ascii="Palatino Linotype" w:hAnsi="Palatino Linotype"/>
          <w:i/>
          <w:sz w:val="22"/>
          <w:szCs w:val="22"/>
        </w:rPr>
        <w:t xml:space="preserve">El número de folio de </w:t>
      </w:r>
      <w:r w:rsidRPr="003565EB">
        <w:rPr>
          <w:rFonts w:ascii="Palatino Linotype" w:hAnsi="Palatino Linotype" w:cs="Arial"/>
          <w:i/>
          <w:color w:val="222222"/>
          <w:sz w:val="22"/>
          <w:szCs w:val="22"/>
          <w:lang w:eastAsia="es-MX"/>
        </w:rPr>
        <w:t>respuesta</w:t>
      </w:r>
      <w:r w:rsidRPr="003565EB">
        <w:rPr>
          <w:rFonts w:ascii="Palatino Linotype" w:hAnsi="Palatino Linotype"/>
          <w:i/>
          <w:sz w:val="22"/>
          <w:szCs w:val="22"/>
        </w:rPr>
        <w:t xml:space="preserve"> de la solicitud de acceso; </w:t>
      </w:r>
    </w:p>
    <w:p w:rsidR="003F21F9" w:rsidRPr="003565EB" w:rsidRDefault="003F21F9" w:rsidP="003F21F9">
      <w:pPr>
        <w:ind w:left="851" w:right="902"/>
        <w:jc w:val="both"/>
        <w:rPr>
          <w:rFonts w:ascii="Palatino Linotype" w:hAnsi="Palatino Linotype"/>
          <w:b/>
          <w:i/>
          <w:sz w:val="22"/>
          <w:szCs w:val="22"/>
        </w:rPr>
      </w:pPr>
      <w:r w:rsidRPr="003565EB">
        <w:rPr>
          <w:rFonts w:ascii="Palatino Linotype" w:hAnsi="Palatino Linotype"/>
          <w:b/>
          <w:i/>
          <w:sz w:val="22"/>
          <w:szCs w:val="22"/>
        </w:rPr>
        <w:t xml:space="preserve">IV. </w:t>
      </w:r>
      <w:r w:rsidRPr="003565EB">
        <w:rPr>
          <w:rFonts w:ascii="Palatino Linotype" w:hAnsi="Palatino Linotype"/>
          <w:i/>
          <w:sz w:val="22"/>
          <w:szCs w:val="22"/>
        </w:rPr>
        <w:t xml:space="preserve">La fecha en que fue </w:t>
      </w:r>
      <w:r w:rsidRPr="003565EB">
        <w:rPr>
          <w:rFonts w:ascii="Palatino Linotype" w:hAnsi="Palatino Linotype" w:cs="Arial"/>
          <w:i/>
          <w:color w:val="222222"/>
          <w:sz w:val="22"/>
          <w:szCs w:val="22"/>
          <w:lang w:eastAsia="es-MX"/>
        </w:rPr>
        <w:t>notificada</w:t>
      </w:r>
      <w:r w:rsidRPr="003565EB">
        <w:rPr>
          <w:rFonts w:ascii="Palatino Linotype" w:hAnsi="Palatino Linotype"/>
          <w:i/>
          <w:sz w:val="22"/>
          <w:szCs w:val="22"/>
        </w:rPr>
        <w:t xml:space="preserve"> la respuesta al solicitante o tuvo conocimiento del acto reclamado, o de presentación de la solicitud, en caso de falta de respuesta;</w:t>
      </w:r>
      <w:r w:rsidRPr="003565EB">
        <w:rPr>
          <w:rFonts w:ascii="Palatino Linotype" w:hAnsi="Palatino Linotype"/>
          <w:b/>
          <w:i/>
          <w:sz w:val="22"/>
          <w:szCs w:val="22"/>
        </w:rPr>
        <w:t xml:space="preserve"> </w:t>
      </w:r>
    </w:p>
    <w:p w:rsidR="003F21F9" w:rsidRPr="003565EB" w:rsidRDefault="003F21F9" w:rsidP="003F21F9">
      <w:pPr>
        <w:ind w:left="851" w:right="902"/>
        <w:jc w:val="both"/>
        <w:rPr>
          <w:rFonts w:ascii="Palatino Linotype" w:hAnsi="Palatino Linotype"/>
          <w:b/>
          <w:i/>
          <w:sz w:val="22"/>
          <w:szCs w:val="22"/>
        </w:rPr>
      </w:pPr>
      <w:r w:rsidRPr="003565EB">
        <w:rPr>
          <w:rFonts w:ascii="Palatino Linotype" w:hAnsi="Palatino Linotype"/>
          <w:b/>
          <w:i/>
          <w:sz w:val="22"/>
          <w:szCs w:val="22"/>
        </w:rPr>
        <w:t xml:space="preserve">V. </w:t>
      </w:r>
      <w:r w:rsidRPr="003565EB">
        <w:rPr>
          <w:rFonts w:ascii="Palatino Linotype" w:hAnsi="Palatino Linotype"/>
          <w:i/>
          <w:sz w:val="22"/>
          <w:szCs w:val="22"/>
        </w:rPr>
        <w:t xml:space="preserve">El acto que se </w:t>
      </w:r>
      <w:r w:rsidRPr="003565EB">
        <w:rPr>
          <w:rFonts w:ascii="Palatino Linotype" w:hAnsi="Palatino Linotype" w:cs="Arial"/>
          <w:i/>
          <w:color w:val="222222"/>
          <w:sz w:val="22"/>
          <w:szCs w:val="22"/>
          <w:lang w:eastAsia="es-MX"/>
        </w:rPr>
        <w:t>recurre</w:t>
      </w:r>
      <w:r w:rsidRPr="003565EB">
        <w:rPr>
          <w:rFonts w:ascii="Palatino Linotype" w:hAnsi="Palatino Linotype"/>
          <w:i/>
          <w:sz w:val="22"/>
          <w:szCs w:val="22"/>
        </w:rPr>
        <w:t>;</w:t>
      </w:r>
      <w:r w:rsidRPr="003565EB">
        <w:rPr>
          <w:rFonts w:ascii="Palatino Linotype" w:hAnsi="Palatino Linotype"/>
          <w:b/>
          <w:i/>
          <w:sz w:val="22"/>
          <w:szCs w:val="22"/>
        </w:rPr>
        <w:t xml:space="preserve"> </w:t>
      </w:r>
    </w:p>
    <w:p w:rsidR="003F21F9" w:rsidRPr="003565EB" w:rsidRDefault="003F21F9" w:rsidP="003F21F9">
      <w:pPr>
        <w:ind w:left="851" w:right="902"/>
        <w:jc w:val="both"/>
        <w:rPr>
          <w:rFonts w:ascii="Palatino Linotype" w:hAnsi="Palatino Linotype"/>
          <w:b/>
          <w:i/>
          <w:sz w:val="22"/>
          <w:szCs w:val="22"/>
        </w:rPr>
      </w:pPr>
      <w:r w:rsidRPr="003565EB">
        <w:rPr>
          <w:rFonts w:ascii="Palatino Linotype" w:hAnsi="Palatino Linotype"/>
          <w:b/>
          <w:i/>
          <w:sz w:val="22"/>
          <w:szCs w:val="22"/>
        </w:rPr>
        <w:t xml:space="preserve">VI. </w:t>
      </w:r>
      <w:r w:rsidRPr="003565EB">
        <w:rPr>
          <w:rFonts w:ascii="Palatino Linotype" w:hAnsi="Palatino Linotype"/>
          <w:i/>
          <w:sz w:val="22"/>
          <w:szCs w:val="22"/>
        </w:rPr>
        <w:t xml:space="preserve">Las razones o </w:t>
      </w:r>
      <w:r w:rsidRPr="003565EB">
        <w:rPr>
          <w:rFonts w:ascii="Palatino Linotype" w:hAnsi="Palatino Linotype" w:cs="Arial"/>
          <w:i/>
          <w:color w:val="222222"/>
          <w:sz w:val="22"/>
          <w:szCs w:val="22"/>
          <w:lang w:eastAsia="es-MX"/>
        </w:rPr>
        <w:t>motivos</w:t>
      </w:r>
      <w:r w:rsidRPr="003565EB">
        <w:rPr>
          <w:rFonts w:ascii="Palatino Linotype" w:hAnsi="Palatino Linotype"/>
          <w:i/>
          <w:sz w:val="22"/>
          <w:szCs w:val="22"/>
        </w:rPr>
        <w:t xml:space="preserve"> de inconformidad;</w:t>
      </w:r>
      <w:r w:rsidRPr="003565EB">
        <w:rPr>
          <w:rFonts w:ascii="Palatino Linotype" w:hAnsi="Palatino Linotype"/>
          <w:b/>
          <w:i/>
          <w:sz w:val="22"/>
          <w:szCs w:val="22"/>
        </w:rPr>
        <w:t xml:space="preserve"> </w:t>
      </w:r>
    </w:p>
    <w:p w:rsidR="003F21F9" w:rsidRPr="003565EB" w:rsidRDefault="003F21F9" w:rsidP="003F21F9">
      <w:pPr>
        <w:ind w:left="851" w:right="902"/>
        <w:jc w:val="both"/>
        <w:rPr>
          <w:rFonts w:ascii="Palatino Linotype" w:hAnsi="Palatino Linotype"/>
          <w:b/>
          <w:i/>
          <w:sz w:val="22"/>
          <w:szCs w:val="22"/>
        </w:rPr>
      </w:pPr>
      <w:r w:rsidRPr="003565EB">
        <w:rPr>
          <w:rFonts w:ascii="Palatino Linotype" w:hAnsi="Palatino Linotype"/>
          <w:b/>
          <w:i/>
          <w:sz w:val="22"/>
          <w:szCs w:val="22"/>
        </w:rPr>
        <w:t xml:space="preserve">VII. </w:t>
      </w:r>
      <w:r w:rsidRPr="003565EB">
        <w:rPr>
          <w:rFonts w:ascii="Palatino Linotype" w:hAnsi="Palatino Linotype"/>
          <w:i/>
          <w:sz w:val="22"/>
          <w:szCs w:val="22"/>
        </w:rPr>
        <w:t>La copia de la respuesta que se impugna y, en su caso, de la notificación correspondiente, en el caso de respuesta de la solicitud; y</w:t>
      </w:r>
      <w:r w:rsidRPr="003565EB">
        <w:rPr>
          <w:rFonts w:ascii="Palatino Linotype" w:hAnsi="Palatino Linotype"/>
          <w:b/>
          <w:i/>
          <w:sz w:val="22"/>
          <w:szCs w:val="22"/>
        </w:rPr>
        <w:t xml:space="preserve"> </w:t>
      </w:r>
    </w:p>
    <w:p w:rsidR="003F21F9" w:rsidRPr="003565EB" w:rsidRDefault="003F21F9" w:rsidP="003F21F9">
      <w:pPr>
        <w:ind w:left="851" w:right="902"/>
        <w:jc w:val="both"/>
        <w:rPr>
          <w:rFonts w:ascii="Palatino Linotype" w:hAnsi="Palatino Linotype"/>
          <w:i/>
          <w:sz w:val="22"/>
          <w:szCs w:val="22"/>
        </w:rPr>
      </w:pPr>
      <w:r w:rsidRPr="003565EB">
        <w:rPr>
          <w:rFonts w:ascii="Palatino Linotype" w:hAnsi="Palatino Linotype"/>
          <w:b/>
          <w:i/>
          <w:sz w:val="22"/>
          <w:szCs w:val="22"/>
        </w:rPr>
        <w:t xml:space="preserve">VIII. </w:t>
      </w:r>
      <w:r w:rsidRPr="003565EB">
        <w:rPr>
          <w:rFonts w:ascii="Palatino Linotype" w:hAnsi="Palatino Linotype"/>
          <w:i/>
          <w:sz w:val="22"/>
          <w:szCs w:val="22"/>
        </w:rPr>
        <w:t xml:space="preserve">Firma del recurrente, en su caso, cuando se presente por escrito, requisito sin el cual se dará trámite al recurso. </w:t>
      </w:r>
    </w:p>
    <w:p w:rsidR="003F21F9" w:rsidRPr="003565EB" w:rsidRDefault="003F21F9" w:rsidP="003F21F9">
      <w:pPr>
        <w:ind w:left="851" w:right="902"/>
        <w:jc w:val="both"/>
        <w:rPr>
          <w:rFonts w:ascii="Palatino Linotype" w:hAnsi="Palatino Linotype"/>
          <w:i/>
          <w:sz w:val="22"/>
          <w:szCs w:val="22"/>
        </w:rPr>
      </w:pPr>
      <w:r w:rsidRPr="003565EB">
        <w:rPr>
          <w:rFonts w:ascii="Palatino Linotype" w:hAnsi="Palatino Linotype"/>
          <w:i/>
          <w:sz w:val="22"/>
          <w:szCs w:val="22"/>
        </w:rPr>
        <w:t xml:space="preserve">Adicionalmente, se podrán anexar las pruebas y demás elementos que considere procedentes someter a juicio del Instituto. </w:t>
      </w:r>
    </w:p>
    <w:p w:rsidR="003F21F9" w:rsidRPr="003565EB" w:rsidRDefault="003F21F9" w:rsidP="003F21F9">
      <w:pPr>
        <w:ind w:left="851" w:right="902"/>
        <w:jc w:val="both"/>
        <w:rPr>
          <w:rFonts w:ascii="Palatino Linotype" w:hAnsi="Palatino Linotype"/>
          <w:i/>
          <w:sz w:val="22"/>
          <w:szCs w:val="22"/>
        </w:rPr>
      </w:pPr>
      <w:r w:rsidRPr="003565EB">
        <w:rPr>
          <w:rFonts w:ascii="Palatino Linotype" w:hAnsi="Palatino Linotype"/>
          <w:i/>
          <w:sz w:val="22"/>
          <w:szCs w:val="22"/>
        </w:rPr>
        <w:t xml:space="preserve">En ningún caso será necesario que el particular ratifique el recurso de revisión interpuesto. </w:t>
      </w:r>
    </w:p>
    <w:p w:rsidR="003F21F9" w:rsidRPr="003565EB" w:rsidRDefault="003F21F9" w:rsidP="003F21F9">
      <w:pPr>
        <w:ind w:left="851" w:right="902"/>
        <w:jc w:val="both"/>
        <w:rPr>
          <w:rFonts w:ascii="Palatino Linotype" w:hAnsi="Palatino Linotype"/>
          <w:i/>
          <w:sz w:val="22"/>
          <w:szCs w:val="22"/>
        </w:rPr>
      </w:pPr>
      <w:r w:rsidRPr="003565EB">
        <w:rPr>
          <w:rFonts w:ascii="Palatino Linotype" w:hAnsi="Palatino Linotype"/>
          <w:b/>
          <w:i/>
          <w:sz w:val="22"/>
          <w:szCs w:val="22"/>
        </w:rPr>
        <w:t xml:space="preserve">En caso de </w:t>
      </w:r>
      <w:r w:rsidRPr="003565EB">
        <w:rPr>
          <w:rFonts w:ascii="Palatino Linotype" w:hAnsi="Palatino Linotype" w:cs="Arial"/>
          <w:b/>
          <w:i/>
          <w:color w:val="222222"/>
          <w:sz w:val="22"/>
          <w:szCs w:val="22"/>
          <w:lang w:eastAsia="es-MX"/>
        </w:rPr>
        <w:t>que</w:t>
      </w:r>
      <w:r w:rsidRPr="003565EB">
        <w:rPr>
          <w:rFonts w:ascii="Palatino Linotype" w:hAnsi="Palatino Linotype"/>
          <w:b/>
          <w:i/>
          <w:sz w:val="22"/>
          <w:szCs w:val="22"/>
        </w:rPr>
        <w:t xml:space="preserve"> el recurso se interponga de manera electrónica no será indispensable que contengan los requisitos establecidos en las fracciones II</w:t>
      </w:r>
      <w:r w:rsidRPr="003565EB">
        <w:rPr>
          <w:rFonts w:ascii="Palatino Linotype" w:hAnsi="Palatino Linotype"/>
          <w:i/>
          <w:sz w:val="22"/>
          <w:szCs w:val="22"/>
        </w:rPr>
        <w:t xml:space="preserve">, IV, VII y VIII. </w:t>
      </w:r>
    </w:p>
    <w:p w:rsidR="003F21F9" w:rsidRPr="003565EB" w:rsidRDefault="003F21F9" w:rsidP="003F21F9">
      <w:pPr>
        <w:ind w:left="851" w:right="902"/>
        <w:jc w:val="both"/>
        <w:rPr>
          <w:rFonts w:ascii="Palatino Linotype" w:hAnsi="Palatino Linotype"/>
          <w:sz w:val="22"/>
          <w:szCs w:val="22"/>
        </w:rPr>
      </w:pPr>
      <w:r w:rsidRPr="003565EB">
        <w:rPr>
          <w:rFonts w:ascii="Palatino Linotype" w:hAnsi="Palatino Linotype"/>
          <w:sz w:val="22"/>
          <w:szCs w:val="22"/>
        </w:rPr>
        <w:lastRenderedPageBreak/>
        <w:t>(Énfasis añadido)</w:t>
      </w:r>
    </w:p>
    <w:p w:rsidR="003F21F9" w:rsidRPr="003565EB" w:rsidRDefault="003F21F9" w:rsidP="003F21F9">
      <w:pPr>
        <w:spacing w:before="200" w:after="200" w:line="360" w:lineRule="auto"/>
        <w:jc w:val="both"/>
        <w:rPr>
          <w:rFonts w:ascii="Palatino Linotype" w:hAnsi="Palatino Linotype"/>
        </w:rPr>
      </w:pPr>
      <w:r w:rsidRPr="003565EB">
        <w:rPr>
          <w:rFonts w:ascii="Palatino Linotype" w:hAnsi="Palatino Linotype"/>
        </w:rPr>
        <w:t xml:space="preserve">En principio, de una interpretación del artículo transcrito se observa que los requisitos que </w:t>
      </w:r>
      <w:r w:rsidRPr="003565EB">
        <w:rPr>
          <w:rFonts w:ascii="Palatino Linotype" w:hAnsi="Palatino Linotype" w:cs="Arial"/>
        </w:rPr>
        <w:t>deberán</w:t>
      </w:r>
      <w:r w:rsidRPr="003565EB">
        <w:rPr>
          <w:rFonts w:ascii="Palatino Linotype" w:hAnsi="Palatino Linotype"/>
        </w:rPr>
        <w:t xml:space="preserve"> </w:t>
      </w:r>
      <w:r w:rsidRPr="003565EB">
        <w:rPr>
          <w:rFonts w:ascii="Palatino Linotype" w:hAnsi="Palatino Linotype" w:cs="Arial"/>
        </w:rPr>
        <w:t>contener</w:t>
      </w:r>
      <w:r w:rsidRPr="003565EB">
        <w:rPr>
          <w:rFonts w:ascii="Palatino Linotype" w:hAnsi="Palatino Linotype"/>
        </w:rPr>
        <w:t xml:space="preserve"> los recursos de revisión; sobre el particular, de la revisión del expediente electrónico del </w:t>
      </w:r>
      <w:r w:rsidRPr="003565EB">
        <w:rPr>
          <w:rFonts w:ascii="Palatino Linotype" w:hAnsi="Palatino Linotype"/>
          <w:b/>
        </w:rPr>
        <w:t>SAIMEX</w:t>
      </w:r>
      <w:r w:rsidRPr="003565EB">
        <w:rPr>
          <w:rFonts w:ascii="Palatino Linotype" w:hAnsi="Palatino Linotype"/>
        </w:rPr>
        <w:t xml:space="preserve"> se desprende que la parte solicitante y ahora </w:t>
      </w:r>
      <w:r w:rsidRPr="003565EB">
        <w:rPr>
          <w:rFonts w:ascii="Palatino Linotype" w:hAnsi="Palatino Linotype"/>
          <w:b/>
        </w:rPr>
        <w:t>RECURRENTE</w:t>
      </w:r>
      <w:r w:rsidRPr="003565EB">
        <w:rPr>
          <w:rFonts w:ascii="Palatino Linotype" w:hAnsi="Palatino Linotype"/>
        </w:rPr>
        <w:t xml:space="preserve">, en ejercicio de su derecho de acceso a la información pública, no proporcionó su segundo apellido, es decir el materno, para que </w:t>
      </w:r>
      <w:r w:rsidRPr="003565EB">
        <w:rPr>
          <w:rFonts w:ascii="Palatino Linotype" w:hAnsi="Palatino Linotype" w:cs="Arial"/>
        </w:rPr>
        <w:t>sea</w:t>
      </w:r>
      <w:r w:rsidRPr="003565EB">
        <w:rPr>
          <w:rFonts w:ascii="Palatino Linotype" w:hAnsi="Palatino Linotype"/>
        </w:rPr>
        <w:t xml:space="preserve"> identificada, ya que, indicó como nombre </w:t>
      </w:r>
      <w:r w:rsidRPr="003565EB">
        <w:rPr>
          <w:rFonts w:ascii="Palatino Linotype" w:hAnsi="Palatino Linotype"/>
          <w:b/>
        </w:rPr>
        <w:t>“</w:t>
      </w:r>
      <w:r w:rsidR="0038456E">
        <w:rPr>
          <w:rFonts w:ascii="Palatino Linotype" w:hAnsi="Palatino Linotype"/>
          <w:b/>
        </w:rPr>
        <w:t>XXXXXXXXXX</w:t>
      </w:r>
      <w:r w:rsidRPr="003565EB">
        <w:rPr>
          <w:rFonts w:ascii="Palatino Linotype" w:hAnsi="Palatino Linotype"/>
        </w:rPr>
        <w:t xml:space="preserve">”; por lo que, no se tiene certeza sobre su identidad, lo que en estricto sentido, provoca que </w:t>
      </w:r>
      <w:r w:rsidRPr="003565EB">
        <w:rPr>
          <w:rFonts w:ascii="Palatino Linotype" w:hAnsi="Palatino Linotype" w:cs="Arial"/>
        </w:rPr>
        <w:t>no</w:t>
      </w:r>
      <w:r w:rsidRPr="003565EB">
        <w:rPr>
          <w:rFonts w:ascii="Palatino Linotype" w:hAnsi="Palatino Linotype"/>
        </w:rPr>
        <w:t xml:space="preserve"> se colmen los requisitos establecidos en el citado artículo 180 de la Ley de Transparencia.</w:t>
      </w:r>
    </w:p>
    <w:p w:rsidR="003F21F9" w:rsidRPr="003565EB" w:rsidRDefault="003F21F9" w:rsidP="003F21F9">
      <w:pPr>
        <w:spacing w:before="200" w:after="200" w:line="360" w:lineRule="auto"/>
        <w:jc w:val="both"/>
        <w:rPr>
          <w:rFonts w:ascii="Palatino Linotype" w:hAnsi="Palatino Linotype" w:cs="Arial"/>
          <w:color w:val="000000"/>
        </w:rPr>
      </w:pPr>
      <w:r w:rsidRPr="003565EB">
        <w:rPr>
          <w:rFonts w:ascii="Palatino Linotype" w:hAnsi="Palatino Linotype"/>
        </w:rPr>
        <w:t xml:space="preserve">Empero lo anterior, debe destacarse que el artículo 15 de </w:t>
      </w:r>
      <w:r w:rsidRPr="003565EB">
        <w:rPr>
          <w:rFonts w:ascii="Palatino Linotype" w:hAnsi="Palatino Linotype" w:cs="Arial"/>
          <w:lang w:eastAsia="es-MX"/>
        </w:rPr>
        <w:t>Ley de T</w:t>
      </w:r>
      <w:bookmarkStart w:id="0" w:name="_GoBack"/>
      <w:bookmarkEnd w:id="0"/>
      <w:r w:rsidRPr="003565EB">
        <w:rPr>
          <w:rFonts w:ascii="Palatino Linotype" w:hAnsi="Palatino Linotype" w:cs="Arial"/>
          <w:lang w:eastAsia="es-MX"/>
        </w:rPr>
        <w:t xml:space="preserve">ransparencia y Acceso a la </w:t>
      </w:r>
      <w:r w:rsidRPr="003565EB">
        <w:rPr>
          <w:rFonts w:ascii="Palatino Linotype" w:hAnsi="Palatino Linotype" w:cs="Arial"/>
        </w:rPr>
        <w:t>Información</w:t>
      </w:r>
      <w:r w:rsidRPr="003565EB">
        <w:rPr>
          <w:rFonts w:ascii="Palatino Linotype" w:hAnsi="Palatino Linotype" w:cs="Arial"/>
          <w:lang w:eastAsia="es-MX"/>
        </w:rPr>
        <w:t xml:space="preserve"> Pública del Estado de México y Municipios </w:t>
      </w:r>
      <w:r w:rsidRPr="003565EB">
        <w:rPr>
          <w:rFonts w:ascii="Palatino Linotype" w:hAnsi="Palatino Linotype" w:cs="Arial"/>
          <w:iCs/>
        </w:rPr>
        <w:t xml:space="preserve">prevé que, </w:t>
      </w:r>
      <w:r w:rsidRPr="003565EB">
        <w:rPr>
          <w:rFonts w:ascii="Palatino Linotype" w:hAnsi="Palatino Linotype"/>
        </w:rPr>
        <w:t xml:space="preserve">toda persona tendrá acceso a la información </w:t>
      </w:r>
      <w:r w:rsidRPr="003565EB">
        <w:rPr>
          <w:rFonts w:ascii="Palatino Linotype" w:hAnsi="Palatino Linotype" w:cs="Arial"/>
          <w:color w:val="000000"/>
        </w:rPr>
        <w:t xml:space="preserve">sin necesidad de acreditar interés alguno o justificar su utilización, de lo que se infiere que para el </w:t>
      </w:r>
      <w:r w:rsidRPr="003565EB">
        <w:rPr>
          <w:rFonts w:ascii="Palatino Linotype" w:hAnsi="Palatino Linotype"/>
        </w:rPr>
        <w:t>ejercicio</w:t>
      </w:r>
      <w:r w:rsidRPr="003565EB">
        <w:rPr>
          <w:rFonts w:ascii="Palatino Linotype" w:hAnsi="Palatino Linotype" w:cs="Arial"/>
          <w:color w:val="000000"/>
        </w:rPr>
        <w:t xml:space="preserve"> del derecho de acceso a la información pública, </w:t>
      </w:r>
      <w:r w:rsidRPr="003565EB">
        <w:rPr>
          <w:rFonts w:ascii="Palatino Linotype" w:hAnsi="Palatino Linotype" w:cs="Arial"/>
          <w:b/>
          <w:color w:val="000000"/>
        </w:rPr>
        <w:t xml:space="preserve">el nombre no es un requisito </w:t>
      </w:r>
      <w:r w:rsidRPr="003565EB">
        <w:rPr>
          <w:rFonts w:ascii="Palatino Linotype" w:hAnsi="Palatino Linotype" w:cs="Arial"/>
          <w:b/>
          <w:i/>
          <w:color w:val="000000"/>
        </w:rPr>
        <w:t>sine qua non</w:t>
      </w:r>
      <w:r w:rsidRPr="003565EB">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3F21F9" w:rsidRPr="003565EB" w:rsidRDefault="003F21F9" w:rsidP="003F21F9">
      <w:pPr>
        <w:spacing w:before="200" w:after="200" w:line="360" w:lineRule="auto"/>
        <w:jc w:val="both"/>
        <w:rPr>
          <w:rFonts w:ascii="Palatino Linotype" w:hAnsi="Palatino Linotype"/>
        </w:rPr>
      </w:pPr>
      <w:r w:rsidRPr="003565EB">
        <w:rPr>
          <w:rFonts w:ascii="Palatino Linotype" w:hAnsi="Palatino Linotype"/>
        </w:rPr>
        <w:t xml:space="preserve">Correlativo a ello, cabe mencionar que los artículos 6, Apartado A, fracciones I, III, V y VI de la </w:t>
      </w:r>
      <w:r w:rsidRPr="003565EB">
        <w:rPr>
          <w:rFonts w:ascii="Palatino Linotype" w:hAnsi="Palatino Linotype" w:cs="Arial"/>
        </w:rPr>
        <w:t>Constitución</w:t>
      </w:r>
      <w:r w:rsidRPr="003565EB">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w:t>
      </w:r>
      <w:r w:rsidRPr="003565EB">
        <w:rPr>
          <w:rFonts w:ascii="Palatino Linotype" w:hAnsi="Palatino Linotype"/>
        </w:rPr>
        <w:lastRenderedPageBreak/>
        <w:t>acreditar interés alguno o justificar su utilización, tendrá acceso gratuito a la información pública; preceptos cuyo texto y sentido literal es el siguiente:</w:t>
      </w:r>
    </w:p>
    <w:p w:rsidR="003F21F9" w:rsidRPr="003565EB" w:rsidRDefault="003F21F9" w:rsidP="003F21F9">
      <w:pPr>
        <w:spacing w:before="120" w:after="120"/>
        <w:ind w:left="851" w:right="899"/>
        <w:jc w:val="center"/>
        <w:rPr>
          <w:rFonts w:ascii="Palatino Linotype" w:hAnsi="Palatino Linotype" w:cs="Arial"/>
          <w:b/>
          <w:i/>
          <w:sz w:val="22"/>
          <w:szCs w:val="22"/>
        </w:rPr>
      </w:pPr>
      <w:r w:rsidRPr="003565EB">
        <w:rPr>
          <w:rFonts w:ascii="Palatino Linotype" w:hAnsi="Palatino Linotype" w:cs="Arial"/>
          <w:b/>
          <w:i/>
          <w:sz w:val="22"/>
          <w:szCs w:val="22"/>
        </w:rPr>
        <w:t>Constitución Política de los Estados Unidos Mexicanos</w:t>
      </w:r>
    </w:p>
    <w:p w:rsidR="003F21F9" w:rsidRPr="003565EB" w:rsidRDefault="003F21F9" w:rsidP="003F21F9">
      <w:pPr>
        <w:spacing w:before="120" w:after="120"/>
        <w:ind w:left="851" w:right="899"/>
        <w:jc w:val="both"/>
        <w:rPr>
          <w:rFonts w:ascii="Palatino Linotype" w:hAnsi="Palatino Linotype" w:cs="Arial"/>
          <w:i/>
          <w:sz w:val="22"/>
          <w:szCs w:val="22"/>
        </w:rPr>
      </w:pPr>
      <w:r w:rsidRPr="003565EB">
        <w:rPr>
          <w:rFonts w:ascii="Palatino Linotype" w:hAnsi="Palatino Linotype" w:cs="Arial"/>
          <w:i/>
          <w:sz w:val="22"/>
          <w:szCs w:val="22"/>
        </w:rPr>
        <w:t>“</w:t>
      </w:r>
      <w:r w:rsidRPr="003565EB">
        <w:rPr>
          <w:rFonts w:ascii="Palatino Linotype" w:hAnsi="Palatino Linotype" w:cs="Arial"/>
          <w:b/>
          <w:i/>
          <w:sz w:val="22"/>
          <w:szCs w:val="22"/>
        </w:rPr>
        <w:t>Artículo 6o.</w:t>
      </w:r>
      <w:r w:rsidRPr="003565EB">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565EB">
        <w:rPr>
          <w:rFonts w:ascii="Palatino Linotype" w:hAnsi="Palatino Linotype" w:cs="Arial"/>
          <w:b/>
          <w:i/>
          <w:sz w:val="22"/>
          <w:szCs w:val="22"/>
        </w:rPr>
        <w:t>El derecho a la información será garantizado por el Estado.</w:t>
      </w:r>
      <w:r w:rsidRPr="003565EB">
        <w:rPr>
          <w:rFonts w:ascii="Palatino Linotype" w:hAnsi="Palatino Linotype" w:cs="Arial"/>
          <w:i/>
          <w:sz w:val="22"/>
          <w:szCs w:val="22"/>
        </w:rPr>
        <w:t xml:space="preserve"> </w:t>
      </w:r>
    </w:p>
    <w:p w:rsidR="003F21F9" w:rsidRPr="003565EB" w:rsidRDefault="003F21F9" w:rsidP="003F21F9">
      <w:pPr>
        <w:spacing w:before="120" w:after="120"/>
        <w:ind w:left="851" w:right="899"/>
        <w:jc w:val="both"/>
        <w:rPr>
          <w:rFonts w:ascii="Palatino Linotype" w:hAnsi="Palatino Linotype" w:cs="Arial"/>
          <w:i/>
          <w:sz w:val="22"/>
          <w:szCs w:val="22"/>
        </w:rPr>
      </w:pPr>
      <w:r w:rsidRPr="003565EB">
        <w:rPr>
          <w:rFonts w:ascii="Palatino Linotype" w:hAnsi="Palatino Linotype" w:cs="Arial"/>
          <w:b/>
          <w:i/>
          <w:sz w:val="22"/>
          <w:szCs w:val="22"/>
        </w:rPr>
        <w:t xml:space="preserve">Toda persona tiene </w:t>
      </w:r>
      <w:r w:rsidRPr="003565EB">
        <w:rPr>
          <w:rFonts w:ascii="Palatino Linotype" w:hAnsi="Palatino Linotype"/>
          <w:b/>
          <w:i/>
          <w:sz w:val="22"/>
          <w:szCs w:val="22"/>
        </w:rPr>
        <w:t>derecho</w:t>
      </w:r>
      <w:r w:rsidRPr="003565EB">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3565EB">
        <w:rPr>
          <w:rFonts w:ascii="Palatino Linotype" w:hAnsi="Palatino Linotype" w:cs="Arial"/>
          <w:i/>
          <w:sz w:val="22"/>
          <w:szCs w:val="22"/>
        </w:rPr>
        <w:t>.</w:t>
      </w:r>
    </w:p>
    <w:p w:rsidR="003F21F9" w:rsidRPr="003565EB" w:rsidRDefault="003F21F9" w:rsidP="003F21F9">
      <w:pPr>
        <w:spacing w:before="120" w:after="120"/>
        <w:ind w:left="851" w:right="899"/>
        <w:jc w:val="both"/>
        <w:rPr>
          <w:rFonts w:ascii="Palatino Linotype" w:hAnsi="Palatino Linotype" w:cs="Arial"/>
          <w:i/>
          <w:sz w:val="22"/>
          <w:szCs w:val="22"/>
        </w:rPr>
      </w:pPr>
      <w:r w:rsidRPr="003565EB">
        <w:rPr>
          <w:rFonts w:ascii="Palatino Linotype" w:hAnsi="Palatino Linotype" w:cs="Arial"/>
          <w:i/>
          <w:sz w:val="22"/>
          <w:szCs w:val="22"/>
        </w:rPr>
        <w:t xml:space="preserve">Para efectos de lo </w:t>
      </w:r>
      <w:r w:rsidRPr="003565EB">
        <w:rPr>
          <w:rFonts w:ascii="Palatino Linotype" w:hAnsi="Palatino Linotype"/>
          <w:i/>
          <w:sz w:val="22"/>
          <w:szCs w:val="22"/>
        </w:rPr>
        <w:t>dispuesto</w:t>
      </w:r>
      <w:r w:rsidRPr="003565EB">
        <w:rPr>
          <w:rFonts w:ascii="Palatino Linotype" w:hAnsi="Palatino Linotype" w:cs="Arial"/>
          <w:i/>
          <w:sz w:val="22"/>
          <w:szCs w:val="22"/>
        </w:rPr>
        <w:t xml:space="preserve"> en el presente artículo se observará lo siguiente:</w:t>
      </w:r>
    </w:p>
    <w:p w:rsidR="003F21F9" w:rsidRPr="003565EB" w:rsidRDefault="003F21F9" w:rsidP="003F21F9">
      <w:pPr>
        <w:spacing w:before="120" w:after="120"/>
        <w:ind w:left="851" w:right="899"/>
        <w:jc w:val="both"/>
        <w:rPr>
          <w:rFonts w:ascii="Palatino Linotype" w:hAnsi="Palatino Linotype" w:cs="Arial"/>
          <w:i/>
          <w:sz w:val="22"/>
          <w:szCs w:val="22"/>
        </w:rPr>
      </w:pPr>
      <w:r w:rsidRPr="003565EB">
        <w:rPr>
          <w:rFonts w:ascii="Palatino Linotype" w:hAnsi="Palatino Linotype" w:cs="Arial"/>
          <w:b/>
          <w:i/>
          <w:sz w:val="22"/>
          <w:szCs w:val="22"/>
        </w:rPr>
        <w:t>A.</w:t>
      </w:r>
      <w:r w:rsidRPr="003565EB">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3F21F9" w:rsidRPr="003565EB" w:rsidRDefault="003F21F9" w:rsidP="003F21F9">
      <w:pPr>
        <w:spacing w:before="120" w:after="120"/>
        <w:ind w:left="851" w:right="899"/>
        <w:jc w:val="both"/>
        <w:rPr>
          <w:rFonts w:ascii="Palatino Linotype" w:hAnsi="Palatino Linotype" w:cs="Arial"/>
          <w:b/>
          <w:i/>
          <w:sz w:val="22"/>
          <w:szCs w:val="22"/>
        </w:rPr>
      </w:pPr>
      <w:r w:rsidRPr="003565EB">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F21F9" w:rsidRPr="003565EB" w:rsidRDefault="003F21F9" w:rsidP="003F21F9">
      <w:pPr>
        <w:spacing w:before="120" w:after="120"/>
        <w:ind w:left="851" w:right="899"/>
        <w:jc w:val="both"/>
        <w:rPr>
          <w:rFonts w:ascii="Palatino Linotype" w:hAnsi="Palatino Linotype" w:cs="Arial"/>
          <w:i/>
          <w:sz w:val="22"/>
          <w:szCs w:val="22"/>
        </w:rPr>
      </w:pPr>
      <w:r w:rsidRPr="003565EB">
        <w:rPr>
          <w:rFonts w:ascii="Palatino Linotype" w:hAnsi="Palatino Linotype" w:cs="Arial"/>
          <w:i/>
          <w:sz w:val="22"/>
          <w:szCs w:val="22"/>
        </w:rPr>
        <w:t>…</w:t>
      </w:r>
    </w:p>
    <w:p w:rsidR="003F21F9" w:rsidRPr="003565EB" w:rsidRDefault="003F21F9" w:rsidP="003F21F9">
      <w:pPr>
        <w:spacing w:before="120" w:after="120"/>
        <w:ind w:left="851" w:right="899"/>
        <w:jc w:val="both"/>
        <w:rPr>
          <w:rFonts w:ascii="Palatino Linotype" w:hAnsi="Palatino Linotype" w:cs="Arial"/>
          <w:b/>
          <w:i/>
          <w:sz w:val="22"/>
          <w:szCs w:val="22"/>
        </w:rPr>
      </w:pPr>
      <w:r w:rsidRPr="003565EB">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3F21F9" w:rsidRPr="003565EB" w:rsidRDefault="003F21F9" w:rsidP="003F21F9">
      <w:pPr>
        <w:spacing w:before="120" w:after="120"/>
        <w:ind w:left="851" w:right="899"/>
        <w:jc w:val="both"/>
        <w:rPr>
          <w:rFonts w:ascii="Palatino Linotype" w:hAnsi="Palatino Linotype" w:cs="Arial"/>
          <w:i/>
          <w:sz w:val="22"/>
          <w:szCs w:val="22"/>
        </w:rPr>
      </w:pPr>
      <w:r w:rsidRPr="003565EB">
        <w:rPr>
          <w:rFonts w:ascii="Palatino Linotype" w:hAnsi="Palatino Linotype" w:cs="Arial"/>
          <w:i/>
          <w:sz w:val="22"/>
          <w:szCs w:val="22"/>
        </w:rPr>
        <w:t>…</w:t>
      </w:r>
    </w:p>
    <w:p w:rsidR="003F21F9" w:rsidRPr="003565EB" w:rsidRDefault="003F21F9" w:rsidP="003F21F9">
      <w:pPr>
        <w:spacing w:before="120" w:after="120"/>
        <w:ind w:left="851" w:right="899"/>
        <w:jc w:val="both"/>
        <w:rPr>
          <w:rFonts w:ascii="Palatino Linotype" w:hAnsi="Palatino Linotype" w:cs="Arial"/>
          <w:b/>
          <w:i/>
          <w:sz w:val="22"/>
          <w:szCs w:val="22"/>
        </w:rPr>
      </w:pPr>
      <w:r w:rsidRPr="003565EB">
        <w:rPr>
          <w:rFonts w:ascii="Palatino Linotype" w:hAnsi="Palatino Linotype" w:cs="Arial"/>
          <w:b/>
          <w:i/>
          <w:sz w:val="22"/>
          <w:szCs w:val="22"/>
        </w:rPr>
        <w:t xml:space="preserve">V. Los sujetos obligados deberán preservar sus documentos en archivos administrativos actualizados y publicarán, a través de los medios electrónicos disponibles, la información completa y actualizada sobre el </w:t>
      </w:r>
      <w:r w:rsidRPr="003565EB">
        <w:rPr>
          <w:rFonts w:ascii="Palatino Linotype" w:hAnsi="Palatino Linotype" w:cs="Arial"/>
          <w:b/>
          <w:i/>
          <w:sz w:val="22"/>
          <w:szCs w:val="22"/>
        </w:rPr>
        <w:lastRenderedPageBreak/>
        <w:t>ejercicio de los recursos públicos y los indicadores que permitan rendir cuenta del cumplimiento de sus objetivos y de los resultados obtenidos.</w:t>
      </w:r>
    </w:p>
    <w:p w:rsidR="003F21F9" w:rsidRPr="003565EB" w:rsidRDefault="003F21F9" w:rsidP="003F21F9">
      <w:pPr>
        <w:spacing w:before="120" w:after="120"/>
        <w:ind w:left="851" w:right="899"/>
        <w:jc w:val="both"/>
        <w:rPr>
          <w:rFonts w:ascii="Palatino Linotype" w:hAnsi="Palatino Linotype" w:cs="Arial"/>
          <w:b/>
          <w:i/>
          <w:sz w:val="22"/>
          <w:szCs w:val="22"/>
        </w:rPr>
      </w:pPr>
      <w:r w:rsidRPr="003565EB">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3565EB">
        <w:rPr>
          <w:rFonts w:ascii="Palatino Linotype" w:hAnsi="Palatino Linotype" w:cs="Arial"/>
          <w:i/>
          <w:sz w:val="22"/>
          <w:szCs w:val="22"/>
        </w:rPr>
        <w:t>.”</w:t>
      </w:r>
    </w:p>
    <w:p w:rsidR="003F21F9" w:rsidRPr="003565EB" w:rsidRDefault="003F21F9" w:rsidP="003F21F9">
      <w:pPr>
        <w:spacing w:before="120" w:after="120"/>
        <w:ind w:left="851" w:right="899"/>
        <w:jc w:val="both"/>
        <w:rPr>
          <w:rFonts w:ascii="Palatino Linotype" w:hAnsi="Palatino Linotype" w:cs="Arial"/>
          <w:i/>
          <w:sz w:val="22"/>
          <w:szCs w:val="22"/>
        </w:rPr>
      </w:pPr>
      <w:r w:rsidRPr="003565EB">
        <w:rPr>
          <w:rFonts w:ascii="Palatino Linotype" w:hAnsi="Palatino Linotype" w:cs="Arial"/>
          <w:i/>
          <w:sz w:val="22"/>
          <w:szCs w:val="22"/>
        </w:rPr>
        <w:t>…</w:t>
      </w:r>
    </w:p>
    <w:p w:rsidR="003F21F9" w:rsidRPr="003565EB" w:rsidRDefault="003F21F9" w:rsidP="003F21F9">
      <w:pPr>
        <w:spacing w:before="120" w:after="120"/>
        <w:ind w:left="851" w:right="899"/>
        <w:jc w:val="both"/>
        <w:rPr>
          <w:rFonts w:ascii="Palatino Linotype" w:hAnsi="Palatino Linotype" w:cs="Arial"/>
          <w:b/>
          <w:i/>
          <w:sz w:val="22"/>
          <w:szCs w:val="22"/>
        </w:rPr>
      </w:pPr>
      <w:r w:rsidRPr="003565EB">
        <w:rPr>
          <w:rFonts w:ascii="Palatino Linotype" w:hAnsi="Palatino Linotype" w:cs="Arial"/>
          <w:b/>
          <w:i/>
          <w:sz w:val="22"/>
          <w:szCs w:val="22"/>
        </w:rPr>
        <w:t>La ley establecerá aquella información que se considere reservada o confidencial.</w:t>
      </w:r>
    </w:p>
    <w:p w:rsidR="003F21F9" w:rsidRPr="003565EB" w:rsidRDefault="003F21F9" w:rsidP="003F21F9">
      <w:pPr>
        <w:spacing w:before="120" w:after="120"/>
        <w:ind w:left="851" w:right="899"/>
        <w:jc w:val="center"/>
        <w:rPr>
          <w:rFonts w:ascii="Palatino Linotype" w:hAnsi="Palatino Linotype" w:cs="Arial"/>
          <w:b/>
          <w:i/>
          <w:sz w:val="22"/>
          <w:szCs w:val="22"/>
        </w:rPr>
      </w:pPr>
      <w:r w:rsidRPr="003565EB">
        <w:rPr>
          <w:rFonts w:ascii="Palatino Linotype" w:hAnsi="Palatino Linotype" w:cs="Arial"/>
          <w:b/>
          <w:i/>
          <w:sz w:val="22"/>
          <w:szCs w:val="22"/>
        </w:rPr>
        <w:t>Constitución Política del Estado Libre y Soberano de México</w:t>
      </w:r>
    </w:p>
    <w:p w:rsidR="003F21F9" w:rsidRPr="003565EB" w:rsidRDefault="003F21F9" w:rsidP="003F21F9">
      <w:pPr>
        <w:spacing w:before="120" w:after="120"/>
        <w:ind w:left="851" w:right="899"/>
        <w:jc w:val="both"/>
        <w:rPr>
          <w:rFonts w:ascii="Palatino Linotype" w:hAnsi="Palatino Linotype" w:cs="Arial"/>
          <w:i/>
          <w:sz w:val="22"/>
          <w:szCs w:val="22"/>
        </w:rPr>
      </w:pPr>
      <w:r w:rsidRPr="003565EB">
        <w:rPr>
          <w:rFonts w:ascii="Palatino Linotype" w:hAnsi="Palatino Linotype" w:cs="Arial"/>
          <w:i/>
          <w:sz w:val="22"/>
          <w:szCs w:val="22"/>
        </w:rPr>
        <w:t>“</w:t>
      </w:r>
      <w:r w:rsidRPr="003565EB">
        <w:rPr>
          <w:rFonts w:ascii="Palatino Linotype" w:hAnsi="Palatino Linotype" w:cs="Arial"/>
          <w:b/>
          <w:i/>
          <w:sz w:val="22"/>
          <w:szCs w:val="22"/>
        </w:rPr>
        <w:t xml:space="preserve">Artículo 5. </w:t>
      </w:r>
      <w:r w:rsidRPr="003565EB">
        <w:rPr>
          <w:rFonts w:ascii="Palatino Linotype" w:hAnsi="Palatino Linotype" w:cs="Arial"/>
          <w:i/>
          <w:sz w:val="22"/>
          <w:szCs w:val="22"/>
        </w:rPr>
        <w:t xml:space="preserve">… </w:t>
      </w:r>
    </w:p>
    <w:p w:rsidR="003F21F9" w:rsidRPr="003565EB" w:rsidRDefault="003F21F9" w:rsidP="003F21F9">
      <w:pPr>
        <w:spacing w:before="120" w:after="120"/>
        <w:ind w:left="851" w:right="899"/>
        <w:jc w:val="both"/>
        <w:rPr>
          <w:rFonts w:ascii="Palatino Linotype" w:hAnsi="Palatino Linotype"/>
          <w:i/>
          <w:sz w:val="22"/>
          <w:szCs w:val="22"/>
        </w:rPr>
      </w:pPr>
      <w:r w:rsidRPr="003565EB">
        <w:rPr>
          <w:rFonts w:ascii="Palatino Linotype" w:hAnsi="Palatino Linotype"/>
          <w:i/>
          <w:sz w:val="22"/>
          <w:szCs w:val="22"/>
        </w:rPr>
        <w:t>…</w:t>
      </w:r>
    </w:p>
    <w:p w:rsidR="003F21F9" w:rsidRPr="003565EB" w:rsidRDefault="003F21F9" w:rsidP="003F21F9">
      <w:pPr>
        <w:spacing w:before="120" w:after="120"/>
        <w:ind w:left="851" w:right="899"/>
        <w:jc w:val="both"/>
        <w:rPr>
          <w:rFonts w:ascii="Palatino Linotype" w:hAnsi="Palatino Linotype"/>
          <w:i/>
          <w:sz w:val="22"/>
          <w:szCs w:val="22"/>
        </w:rPr>
      </w:pPr>
      <w:r w:rsidRPr="003565EB">
        <w:rPr>
          <w:rFonts w:ascii="Palatino Linotype" w:hAnsi="Palatino Linotype"/>
          <w:b/>
          <w:i/>
          <w:sz w:val="22"/>
          <w:szCs w:val="22"/>
        </w:rPr>
        <w:t>El derecho a la información será garantizado por el Estado</w:t>
      </w:r>
      <w:r w:rsidRPr="003565EB">
        <w:rPr>
          <w:rFonts w:ascii="Palatino Linotype" w:hAnsi="Palatino Linotype"/>
          <w:i/>
          <w:sz w:val="22"/>
          <w:szCs w:val="22"/>
        </w:rPr>
        <w:t>. La ley establecerá las previsiones que permitan asegurar la protección, el respeto y la difusión de este derecho.</w:t>
      </w:r>
    </w:p>
    <w:p w:rsidR="003F21F9" w:rsidRPr="003565EB" w:rsidRDefault="003F21F9" w:rsidP="003F21F9">
      <w:pPr>
        <w:spacing w:before="120" w:after="120"/>
        <w:ind w:left="851" w:right="899"/>
        <w:jc w:val="both"/>
        <w:rPr>
          <w:rFonts w:ascii="Palatino Linotype" w:hAnsi="Palatino Linotype"/>
          <w:i/>
          <w:sz w:val="22"/>
          <w:szCs w:val="22"/>
        </w:rPr>
      </w:pPr>
      <w:r w:rsidRPr="003565EB">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F21F9" w:rsidRPr="003565EB" w:rsidRDefault="003F21F9" w:rsidP="003F21F9">
      <w:pPr>
        <w:spacing w:before="120" w:after="120"/>
        <w:ind w:left="851" w:right="899"/>
        <w:jc w:val="both"/>
        <w:rPr>
          <w:rFonts w:ascii="Palatino Linotype" w:hAnsi="Palatino Linotype"/>
          <w:i/>
          <w:sz w:val="22"/>
          <w:szCs w:val="22"/>
        </w:rPr>
      </w:pPr>
      <w:r w:rsidRPr="003565EB">
        <w:rPr>
          <w:rFonts w:ascii="Palatino Linotype" w:hAnsi="Palatino Linotype"/>
          <w:i/>
          <w:sz w:val="22"/>
          <w:szCs w:val="22"/>
        </w:rPr>
        <w:t>Este derecho se regirá por los principios y bases siguientes:</w:t>
      </w:r>
    </w:p>
    <w:p w:rsidR="003F21F9" w:rsidRPr="003565EB" w:rsidRDefault="003F21F9" w:rsidP="003F21F9">
      <w:pPr>
        <w:spacing w:before="120" w:after="120"/>
        <w:ind w:left="851" w:right="899"/>
        <w:jc w:val="both"/>
        <w:rPr>
          <w:rFonts w:ascii="Palatino Linotype" w:hAnsi="Palatino Linotype"/>
          <w:i/>
          <w:sz w:val="22"/>
          <w:szCs w:val="22"/>
        </w:rPr>
      </w:pPr>
      <w:r w:rsidRPr="003565EB">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3565EB">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3565EB">
        <w:rPr>
          <w:rFonts w:ascii="Palatino Linotype" w:hAnsi="Palatino Linotype" w:cs="Arial"/>
          <w:i/>
          <w:sz w:val="22"/>
          <w:szCs w:val="22"/>
        </w:rPr>
        <w:t>determinará</w:t>
      </w:r>
      <w:r w:rsidRPr="003565EB">
        <w:rPr>
          <w:rFonts w:ascii="Palatino Linotype" w:hAnsi="Palatino Linotype"/>
          <w:i/>
          <w:sz w:val="22"/>
          <w:szCs w:val="22"/>
        </w:rPr>
        <w:t xml:space="preserve"> los supuestos específicos bajo los cuales procederá la declaración de inexistencia de la información.</w:t>
      </w:r>
    </w:p>
    <w:p w:rsidR="003F21F9" w:rsidRPr="003565EB" w:rsidRDefault="003F21F9" w:rsidP="003F21F9">
      <w:pPr>
        <w:spacing w:before="120" w:after="120"/>
        <w:ind w:left="851" w:right="899"/>
        <w:jc w:val="both"/>
        <w:rPr>
          <w:rFonts w:ascii="Palatino Linotype" w:hAnsi="Palatino Linotype"/>
          <w:i/>
          <w:sz w:val="22"/>
          <w:szCs w:val="22"/>
        </w:rPr>
      </w:pPr>
      <w:r w:rsidRPr="003565EB">
        <w:rPr>
          <w:rFonts w:ascii="Palatino Linotype" w:hAnsi="Palatino Linotype"/>
          <w:i/>
          <w:sz w:val="22"/>
          <w:szCs w:val="22"/>
        </w:rPr>
        <w:t>…</w:t>
      </w:r>
    </w:p>
    <w:p w:rsidR="003F21F9" w:rsidRPr="003565EB" w:rsidRDefault="003F21F9" w:rsidP="003F21F9">
      <w:pPr>
        <w:spacing w:before="120" w:after="120"/>
        <w:ind w:left="851" w:right="899"/>
        <w:jc w:val="both"/>
        <w:rPr>
          <w:rFonts w:ascii="Palatino Linotype" w:hAnsi="Palatino Linotype"/>
          <w:i/>
          <w:sz w:val="22"/>
          <w:szCs w:val="22"/>
        </w:rPr>
      </w:pPr>
      <w:r w:rsidRPr="003565EB">
        <w:rPr>
          <w:rFonts w:ascii="Palatino Linotype" w:hAnsi="Palatino Linotype"/>
          <w:b/>
          <w:i/>
          <w:sz w:val="22"/>
          <w:szCs w:val="22"/>
        </w:rPr>
        <w:lastRenderedPageBreak/>
        <w:t>III. Toda persona, sin necesidad de acreditar interés alguno o justificar su utilización, tendrá acceso gratuito a la información pública, a sus datos personales o a la rectificación de éstos.</w:t>
      </w:r>
      <w:r w:rsidRPr="003565EB">
        <w:rPr>
          <w:rFonts w:ascii="Palatino Linotype" w:hAnsi="Palatino Linotype"/>
          <w:i/>
          <w:sz w:val="22"/>
          <w:szCs w:val="22"/>
        </w:rPr>
        <w:t>”</w:t>
      </w:r>
    </w:p>
    <w:p w:rsidR="003F21F9" w:rsidRPr="003565EB" w:rsidRDefault="003F21F9" w:rsidP="003F21F9">
      <w:pPr>
        <w:spacing w:before="120" w:after="120"/>
        <w:ind w:left="851" w:right="899"/>
        <w:jc w:val="both"/>
        <w:rPr>
          <w:rFonts w:ascii="Palatino Linotype" w:hAnsi="Palatino Linotype"/>
          <w:sz w:val="22"/>
          <w:szCs w:val="22"/>
        </w:rPr>
      </w:pPr>
      <w:r w:rsidRPr="003565EB">
        <w:rPr>
          <w:rFonts w:ascii="Palatino Linotype" w:hAnsi="Palatino Linotype"/>
          <w:sz w:val="22"/>
          <w:szCs w:val="22"/>
        </w:rPr>
        <w:t>(Énfasis añadido)</w:t>
      </w:r>
    </w:p>
    <w:p w:rsidR="003F21F9" w:rsidRPr="003565EB" w:rsidRDefault="003F21F9" w:rsidP="003F21F9">
      <w:pPr>
        <w:spacing w:before="200" w:after="200" w:line="360" w:lineRule="auto"/>
        <w:jc w:val="both"/>
        <w:rPr>
          <w:rFonts w:ascii="Palatino Linotype" w:hAnsi="Palatino Linotype"/>
        </w:rPr>
      </w:pPr>
      <w:r w:rsidRPr="003565EB">
        <w:rPr>
          <w:rFonts w:ascii="Palatino Linotype" w:hAnsi="Palatino Linotype"/>
        </w:rPr>
        <w:t xml:space="preserve">Por otra parte, del </w:t>
      </w:r>
      <w:r w:rsidRPr="003565EB">
        <w:rPr>
          <w:rFonts w:ascii="Palatino Linotype" w:hAnsi="Palatino Linotype" w:cs="Arial"/>
        </w:rPr>
        <w:t>contenido</w:t>
      </w:r>
      <w:r w:rsidRPr="003565EB">
        <w:rPr>
          <w:rFonts w:ascii="Palatino Linotype" w:hAnsi="Palatino Linotype"/>
        </w:rPr>
        <w:t xml:space="preserve"> del artículo 1 de la Constitución Política de los Estados Unidos Mexicanos, se destaca lo siguiente:</w:t>
      </w:r>
    </w:p>
    <w:p w:rsidR="003F21F9" w:rsidRPr="003565EB" w:rsidRDefault="003F21F9" w:rsidP="003F21F9">
      <w:pPr>
        <w:spacing w:before="120" w:after="120"/>
        <w:ind w:left="851" w:right="899"/>
        <w:jc w:val="both"/>
        <w:rPr>
          <w:rFonts w:ascii="Palatino Linotype" w:hAnsi="Palatino Linotype" w:cs="Arial"/>
          <w:i/>
          <w:sz w:val="22"/>
          <w:szCs w:val="22"/>
        </w:rPr>
      </w:pPr>
      <w:r w:rsidRPr="003565EB">
        <w:rPr>
          <w:rFonts w:ascii="Palatino Linotype" w:hAnsi="Palatino Linotype" w:cs="Arial"/>
          <w:i/>
          <w:sz w:val="22"/>
          <w:szCs w:val="22"/>
        </w:rPr>
        <w:t>“</w:t>
      </w:r>
      <w:r w:rsidRPr="003565EB">
        <w:rPr>
          <w:rFonts w:ascii="Palatino Linotype" w:hAnsi="Palatino Linotype" w:cs="Arial"/>
          <w:b/>
          <w:i/>
          <w:sz w:val="22"/>
          <w:szCs w:val="22"/>
        </w:rPr>
        <w:t>Artículo 1o</w:t>
      </w:r>
      <w:r w:rsidRPr="003565EB">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F21F9" w:rsidRPr="003565EB" w:rsidRDefault="003F21F9" w:rsidP="003F21F9">
      <w:pPr>
        <w:spacing w:before="120" w:after="120"/>
        <w:ind w:left="851" w:right="899"/>
        <w:jc w:val="both"/>
        <w:rPr>
          <w:rFonts w:ascii="Palatino Linotype" w:hAnsi="Palatino Linotype" w:cs="Arial"/>
          <w:b/>
          <w:i/>
          <w:sz w:val="22"/>
          <w:szCs w:val="22"/>
        </w:rPr>
      </w:pPr>
      <w:r w:rsidRPr="003565EB">
        <w:rPr>
          <w:rFonts w:ascii="Palatino Linotype" w:hAnsi="Palatino Linotype" w:cs="Arial"/>
          <w:b/>
          <w:i/>
          <w:sz w:val="22"/>
          <w:szCs w:val="22"/>
        </w:rPr>
        <w:t>Las normas relativas a los derechos humanos se interpretarán</w:t>
      </w:r>
      <w:r w:rsidRPr="003565EB">
        <w:rPr>
          <w:rFonts w:ascii="Palatino Linotype" w:hAnsi="Palatino Linotype" w:cs="Arial"/>
          <w:i/>
          <w:sz w:val="22"/>
          <w:szCs w:val="22"/>
        </w:rPr>
        <w:t xml:space="preserve"> de conformidad con esta Constitución y con los tratados internacionales de la </w:t>
      </w:r>
      <w:r w:rsidRPr="003565EB">
        <w:rPr>
          <w:rFonts w:ascii="Palatino Linotype" w:hAnsi="Palatino Linotype" w:cs="Arial"/>
          <w:b/>
          <w:i/>
          <w:sz w:val="22"/>
          <w:szCs w:val="22"/>
        </w:rPr>
        <w:t>materia favoreciendo en todo tiempo a las personas la protección más amplia.</w:t>
      </w:r>
    </w:p>
    <w:p w:rsidR="003F21F9" w:rsidRPr="003565EB" w:rsidRDefault="003F21F9" w:rsidP="003F21F9">
      <w:pPr>
        <w:spacing w:before="120" w:after="120"/>
        <w:ind w:left="851" w:right="899"/>
        <w:jc w:val="both"/>
        <w:rPr>
          <w:rFonts w:ascii="Palatino Linotype" w:hAnsi="Palatino Linotype" w:cs="Arial"/>
          <w:i/>
          <w:sz w:val="22"/>
          <w:szCs w:val="22"/>
        </w:rPr>
      </w:pPr>
      <w:r w:rsidRPr="003565EB">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3565EB">
        <w:rPr>
          <w:rFonts w:ascii="Palatino Linotype" w:hAnsi="Palatino Linotype" w:cs="Arial"/>
          <w:i/>
          <w:sz w:val="22"/>
          <w:szCs w:val="22"/>
        </w:rPr>
        <w:t>. En consecuencia, el Estado deberá prevenir, investigar, sancionar y reparar las violaciones a los derechos humanos, en los términos que establezca la ley.”</w:t>
      </w:r>
    </w:p>
    <w:p w:rsidR="003F21F9" w:rsidRPr="003565EB" w:rsidRDefault="003F21F9" w:rsidP="003F21F9">
      <w:pPr>
        <w:spacing w:before="120" w:after="120"/>
        <w:ind w:left="851" w:right="899"/>
        <w:jc w:val="both"/>
        <w:rPr>
          <w:rFonts w:ascii="Palatino Linotype" w:hAnsi="Palatino Linotype"/>
          <w:sz w:val="22"/>
          <w:szCs w:val="22"/>
        </w:rPr>
      </w:pPr>
      <w:r w:rsidRPr="003565EB">
        <w:rPr>
          <w:rFonts w:ascii="Palatino Linotype" w:hAnsi="Palatino Linotype"/>
          <w:sz w:val="22"/>
          <w:szCs w:val="22"/>
        </w:rPr>
        <w:t>(Énfasis añadido)</w:t>
      </w:r>
    </w:p>
    <w:p w:rsidR="003F21F9" w:rsidRPr="003565EB" w:rsidRDefault="003F21F9" w:rsidP="003F21F9">
      <w:pPr>
        <w:spacing w:before="200" w:after="200" w:line="360" w:lineRule="auto"/>
        <w:jc w:val="both"/>
        <w:rPr>
          <w:rFonts w:ascii="Palatino Linotype" w:hAnsi="Palatino Linotype"/>
        </w:rPr>
      </w:pPr>
      <w:r w:rsidRPr="003565EB">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3565EB">
        <w:rPr>
          <w:rFonts w:ascii="Palatino Linotype" w:hAnsi="Palatino Linotype" w:cs="Arial"/>
        </w:rPr>
        <w:t>alguno</w:t>
      </w:r>
      <w:r w:rsidRPr="003565EB">
        <w:rPr>
          <w:rFonts w:ascii="Palatino Linotype" w:hAnsi="Palatino Linotype"/>
        </w:rPr>
        <w:t xml:space="preserve"> o justificar su utilización, deberá tener acceso a la información pública, es decir, dicho </w:t>
      </w:r>
      <w:r w:rsidRPr="003565EB">
        <w:rPr>
          <w:rFonts w:ascii="Palatino Linotype" w:hAnsi="Palatino Linotype" w:cs="Arial"/>
        </w:rPr>
        <w:t>derecho</w:t>
      </w:r>
      <w:r w:rsidRPr="003565EB">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3F21F9" w:rsidRPr="003565EB" w:rsidRDefault="003F21F9" w:rsidP="003F21F9">
      <w:pPr>
        <w:spacing w:before="200" w:after="200" w:line="360" w:lineRule="auto"/>
        <w:jc w:val="both"/>
        <w:rPr>
          <w:rFonts w:ascii="Palatino Linotype" w:hAnsi="Palatino Linotype"/>
        </w:rPr>
      </w:pPr>
      <w:r w:rsidRPr="003565EB">
        <w:rPr>
          <w:rFonts w:ascii="Palatino Linotype" w:hAnsi="Palatino Linotype"/>
        </w:rPr>
        <w:lastRenderedPageBreak/>
        <w:t xml:space="preserve">Robustece lo anterior, el Criterio 6/2014 del entonces </w:t>
      </w:r>
      <w:r w:rsidRPr="003565EB">
        <w:rPr>
          <w:rFonts w:ascii="Palatino Linotype" w:hAnsi="Palatino Linotype"/>
          <w:szCs w:val="20"/>
        </w:rPr>
        <w:t xml:space="preserve">Instituto Federal de Acceso a la Información y </w:t>
      </w:r>
      <w:r w:rsidRPr="003565EB">
        <w:rPr>
          <w:rFonts w:ascii="Palatino Linotype" w:hAnsi="Palatino Linotype" w:cs="Arial"/>
        </w:rPr>
        <w:t>Protección</w:t>
      </w:r>
      <w:r w:rsidRPr="003565EB">
        <w:rPr>
          <w:rFonts w:ascii="Palatino Linotype" w:hAnsi="Palatino Linotype"/>
          <w:szCs w:val="20"/>
        </w:rPr>
        <w:t xml:space="preserve"> de Datos (IFAI) hoy Instituto Nacional de Transparencia, Acceso a la Información y Protección de Datos Personales (INAI)</w:t>
      </w:r>
      <w:r w:rsidRPr="003565EB">
        <w:rPr>
          <w:rFonts w:ascii="Palatino Linotype" w:hAnsi="Palatino Linotype"/>
        </w:rPr>
        <w:t>, el cual se reproduce para una mayor referencia:</w:t>
      </w:r>
    </w:p>
    <w:p w:rsidR="003F21F9" w:rsidRPr="003565EB" w:rsidRDefault="003F21F9" w:rsidP="003F21F9">
      <w:pPr>
        <w:spacing w:before="120" w:after="120"/>
        <w:ind w:left="851" w:right="899"/>
        <w:jc w:val="both"/>
        <w:rPr>
          <w:rFonts w:ascii="Palatino Linotype" w:hAnsi="Palatino Linotype" w:cs="Arial"/>
          <w:i/>
          <w:sz w:val="22"/>
          <w:szCs w:val="22"/>
        </w:rPr>
      </w:pPr>
      <w:r w:rsidRPr="003565EB">
        <w:rPr>
          <w:rFonts w:ascii="Palatino Linotype" w:hAnsi="Palatino Linotype" w:cs="Arial"/>
          <w:sz w:val="22"/>
          <w:szCs w:val="22"/>
        </w:rPr>
        <w:t>“</w:t>
      </w:r>
      <w:r w:rsidRPr="003565EB">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3565EB">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3F21F9" w:rsidRPr="003565EB" w:rsidRDefault="003F21F9" w:rsidP="003F21F9">
      <w:pPr>
        <w:spacing w:before="120" w:after="120"/>
        <w:ind w:left="851" w:right="899"/>
        <w:jc w:val="both"/>
        <w:rPr>
          <w:rFonts w:ascii="Palatino Linotype" w:hAnsi="Palatino Linotype" w:cs="Arial"/>
          <w:i/>
          <w:sz w:val="22"/>
          <w:szCs w:val="22"/>
        </w:rPr>
      </w:pPr>
      <w:r w:rsidRPr="003565EB">
        <w:rPr>
          <w:rFonts w:ascii="Palatino Linotype" w:hAnsi="Palatino Linotype" w:cs="Arial"/>
          <w:i/>
          <w:sz w:val="22"/>
          <w:szCs w:val="22"/>
        </w:rPr>
        <w:t>Resoluciones</w:t>
      </w:r>
    </w:p>
    <w:p w:rsidR="003F21F9" w:rsidRPr="003565EB" w:rsidRDefault="003F21F9" w:rsidP="003F21F9">
      <w:pPr>
        <w:spacing w:before="120" w:after="120"/>
        <w:ind w:left="851" w:right="899"/>
        <w:jc w:val="both"/>
        <w:rPr>
          <w:rFonts w:ascii="Palatino Linotype" w:hAnsi="Palatino Linotype" w:cs="Arial"/>
          <w:i/>
          <w:sz w:val="22"/>
          <w:szCs w:val="22"/>
        </w:rPr>
      </w:pPr>
      <w:r w:rsidRPr="003565EB">
        <w:rPr>
          <w:rFonts w:ascii="Palatino Linotype" w:hAnsi="Palatino Linotype" w:cs="Arial"/>
          <w:b/>
          <w:i/>
          <w:sz w:val="22"/>
          <w:szCs w:val="22"/>
        </w:rPr>
        <w:t>• RDA 5275/13</w:t>
      </w:r>
      <w:r w:rsidRPr="003565EB">
        <w:rPr>
          <w:rFonts w:ascii="Palatino Linotype" w:hAnsi="Palatino Linotype" w:cs="Arial"/>
          <w:i/>
          <w:sz w:val="22"/>
          <w:szCs w:val="22"/>
        </w:rPr>
        <w:t>. Interpuesto en contra de la Secretaría de la Defensa Nacional. Comisionado Ponente Ángel Trinidad Zaldívar.</w:t>
      </w:r>
    </w:p>
    <w:p w:rsidR="003F21F9" w:rsidRPr="003565EB" w:rsidRDefault="003F21F9" w:rsidP="003F21F9">
      <w:pPr>
        <w:spacing w:before="120" w:after="120"/>
        <w:ind w:left="851" w:right="899"/>
        <w:jc w:val="both"/>
        <w:rPr>
          <w:rFonts w:ascii="Palatino Linotype" w:hAnsi="Palatino Linotype" w:cs="Arial"/>
          <w:i/>
          <w:sz w:val="22"/>
          <w:szCs w:val="22"/>
        </w:rPr>
      </w:pPr>
      <w:r w:rsidRPr="003565EB">
        <w:rPr>
          <w:rFonts w:ascii="Palatino Linotype" w:hAnsi="Palatino Linotype" w:cs="Arial"/>
          <w:i/>
          <w:sz w:val="22"/>
          <w:szCs w:val="22"/>
        </w:rPr>
        <w:t xml:space="preserve">• </w:t>
      </w:r>
      <w:r w:rsidRPr="003565EB">
        <w:rPr>
          <w:rFonts w:ascii="Palatino Linotype" w:hAnsi="Palatino Linotype" w:cs="Arial"/>
          <w:b/>
          <w:i/>
          <w:sz w:val="22"/>
          <w:szCs w:val="22"/>
        </w:rPr>
        <w:t>RDA 2937/13</w:t>
      </w:r>
      <w:r w:rsidRPr="003565EB">
        <w:rPr>
          <w:rFonts w:ascii="Palatino Linotype" w:hAnsi="Palatino Linotype" w:cs="Arial"/>
          <w:i/>
          <w:sz w:val="22"/>
          <w:szCs w:val="22"/>
        </w:rPr>
        <w:t>. Interpuesto en contra de LICONSA, S.A. de C.V. Comisionado. Ponente Gerardo Laveaga Rendón.</w:t>
      </w:r>
    </w:p>
    <w:p w:rsidR="003F21F9" w:rsidRPr="003565EB" w:rsidRDefault="003F21F9" w:rsidP="003F21F9">
      <w:pPr>
        <w:spacing w:before="120" w:after="120"/>
        <w:ind w:left="851" w:right="899"/>
        <w:jc w:val="both"/>
        <w:rPr>
          <w:rFonts w:ascii="Palatino Linotype" w:hAnsi="Palatino Linotype" w:cs="Arial"/>
          <w:i/>
          <w:sz w:val="22"/>
          <w:szCs w:val="22"/>
        </w:rPr>
      </w:pPr>
      <w:r w:rsidRPr="003565EB">
        <w:rPr>
          <w:rFonts w:ascii="Palatino Linotype" w:hAnsi="Palatino Linotype" w:cs="Arial"/>
          <w:i/>
          <w:sz w:val="22"/>
          <w:szCs w:val="22"/>
        </w:rPr>
        <w:t xml:space="preserve">• </w:t>
      </w:r>
      <w:r w:rsidRPr="003565EB">
        <w:rPr>
          <w:rFonts w:ascii="Palatino Linotype" w:hAnsi="Palatino Linotype" w:cs="Arial"/>
          <w:b/>
          <w:i/>
          <w:sz w:val="22"/>
          <w:szCs w:val="22"/>
        </w:rPr>
        <w:t>RDA 3609/12</w:t>
      </w:r>
      <w:r w:rsidRPr="003565EB">
        <w:rPr>
          <w:rFonts w:ascii="Palatino Linotype" w:hAnsi="Palatino Linotype" w:cs="Arial"/>
          <w:i/>
          <w:sz w:val="22"/>
          <w:szCs w:val="22"/>
        </w:rPr>
        <w:t>. Interpuesto en contra de la Secretaría de Educación Pública. Comisionada Ponente Sigrid Arzt Colunga.</w:t>
      </w:r>
    </w:p>
    <w:p w:rsidR="003F21F9" w:rsidRPr="003565EB" w:rsidRDefault="003F21F9" w:rsidP="003F21F9">
      <w:pPr>
        <w:spacing w:before="120" w:after="120"/>
        <w:ind w:left="851" w:right="899"/>
        <w:jc w:val="both"/>
        <w:rPr>
          <w:rFonts w:ascii="Palatino Linotype" w:hAnsi="Palatino Linotype" w:cs="Arial"/>
          <w:i/>
          <w:sz w:val="22"/>
          <w:szCs w:val="22"/>
        </w:rPr>
      </w:pPr>
      <w:r w:rsidRPr="003565EB">
        <w:rPr>
          <w:rFonts w:ascii="Palatino Linotype" w:hAnsi="Palatino Linotype" w:cs="Arial"/>
          <w:i/>
          <w:sz w:val="22"/>
          <w:szCs w:val="22"/>
        </w:rPr>
        <w:t xml:space="preserve">• </w:t>
      </w:r>
      <w:r w:rsidRPr="003565EB">
        <w:rPr>
          <w:rFonts w:ascii="Palatino Linotype" w:hAnsi="Palatino Linotype" w:cs="Arial"/>
          <w:b/>
          <w:i/>
          <w:sz w:val="22"/>
          <w:szCs w:val="22"/>
        </w:rPr>
        <w:t>RDA 3361/12</w:t>
      </w:r>
      <w:r w:rsidRPr="003565EB">
        <w:rPr>
          <w:rFonts w:ascii="Palatino Linotype" w:hAnsi="Palatino Linotype" w:cs="Arial"/>
          <w:i/>
          <w:sz w:val="22"/>
          <w:szCs w:val="22"/>
        </w:rPr>
        <w:t>. Interpuesto en contra del Servicio de Administración Tributaria. Comisionada Ponente María Elena Pérez-Jaén Zermeño.</w:t>
      </w:r>
    </w:p>
    <w:p w:rsidR="003F21F9" w:rsidRPr="003565EB" w:rsidRDefault="003F21F9" w:rsidP="003F21F9">
      <w:pPr>
        <w:spacing w:before="120" w:after="120"/>
        <w:ind w:left="851" w:right="899"/>
        <w:jc w:val="both"/>
        <w:rPr>
          <w:rFonts w:ascii="Palatino Linotype" w:hAnsi="Palatino Linotype" w:cs="Arial"/>
          <w:i/>
          <w:sz w:val="22"/>
          <w:szCs w:val="22"/>
        </w:rPr>
      </w:pPr>
      <w:r w:rsidRPr="003565EB">
        <w:rPr>
          <w:rFonts w:ascii="Palatino Linotype" w:hAnsi="Palatino Linotype" w:cs="Arial"/>
          <w:i/>
          <w:sz w:val="22"/>
          <w:szCs w:val="22"/>
        </w:rPr>
        <w:t xml:space="preserve">• </w:t>
      </w:r>
      <w:r w:rsidRPr="003565EB">
        <w:rPr>
          <w:rFonts w:ascii="Palatino Linotype" w:hAnsi="Palatino Linotype" w:cs="Arial"/>
          <w:b/>
          <w:i/>
          <w:sz w:val="22"/>
          <w:szCs w:val="22"/>
        </w:rPr>
        <w:t>RDA 0563/12</w:t>
      </w:r>
      <w:r w:rsidRPr="003565EB">
        <w:rPr>
          <w:rFonts w:ascii="Palatino Linotype" w:hAnsi="Palatino Linotype" w:cs="Arial"/>
          <w:i/>
          <w:sz w:val="22"/>
          <w:szCs w:val="22"/>
        </w:rPr>
        <w:t>. Interpuesto en contra de la Secretaría de la Función Pública. Comisionada Ponente Jacqueline Peschard Mariscal.” (SIC)</w:t>
      </w:r>
    </w:p>
    <w:p w:rsidR="003F21F9" w:rsidRPr="003565EB" w:rsidRDefault="003F21F9" w:rsidP="003F21F9">
      <w:pPr>
        <w:spacing w:before="200" w:after="200" w:line="360" w:lineRule="auto"/>
        <w:jc w:val="both"/>
        <w:rPr>
          <w:rFonts w:ascii="Palatino Linotype" w:hAnsi="Palatino Linotype"/>
        </w:rPr>
      </w:pPr>
      <w:r w:rsidRPr="003565EB">
        <w:rPr>
          <w:rFonts w:ascii="Palatino Linotype" w:hAnsi="Palatino Linotype"/>
        </w:rPr>
        <w:t xml:space="preserve">En ese orden de ideas, se estima que el requerimiento relativo al nombre como presupuesto de procedibilidad, </w:t>
      </w:r>
      <w:r w:rsidRPr="003565EB">
        <w:rPr>
          <w:rFonts w:ascii="Palatino Linotype" w:hAnsi="Palatino Linotype" w:cs="Arial"/>
        </w:rPr>
        <w:t>podría</w:t>
      </w:r>
      <w:r w:rsidRPr="003565EB">
        <w:rPr>
          <w:rFonts w:ascii="Palatino Linotype" w:hAnsi="Palatino Linotype"/>
        </w:rPr>
        <w:t xml:space="preserve"> limitar el ejercicio del derecho de acceso a la información pública, debido a que, el hecho de solicitar la identificación de la hoy </w:t>
      </w:r>
      <w:r w:rsidRPr="003565EB">
        <w:rPr>
          <w:rFonts w:ascii="Palatino Linotype" w:hAnsi="Palatino Linotype" w:cs="Arial"/>
          <w:b/>
        </w:rPr>
        <w:t>RECURRENTE</w:t>
      </w:r>
      <w:r w:rsidRPr="003565EB">
        <w:rPr>
          <w:rFonts w:ascii="Palatino Linotype" w:hAnsi="Palatino Linotype"/>
        </w:rPr>
        <w:t xml:space="preserve"> a través de dicho dato personal, en ciertos extremos se equipara a una </w:t>
      </w:r>
      <w:r w:rsidRPr="003565EB">
        <w:rPr>
          <w:rFonts w:ascii="Palatino Linotype" w:hAnsi="Palatino Linotype"/>
        </w:rPr>
        <w:lastRenderedPageBreak/>
        <w:t xml:space="preserve">exigencia acerca de su interés o justificación de su utilización, lo que materialmente haría nugatorio un </w:t>
      </w:r>
      <w:r w:rsidRPr="003565EB">
        <w:rPr>
          <w:rFonts w:ascii="Palatino Linotype" w:hAnsi="Palatino Linotype"/>
          <w:szCs w:val="20"/>
        </w:rPr>
        <w:t>derecho</w:t>
      </w:r>
      <w:r w:rsidRPr="003565EB">
        <w:rPr>
          <w:rFonts w:ascii="Palatino Linotype" w:hAnsi="Palatino Linotype"/>
        </w:rPr>
        <w:t xml:space="preserve"> fundamental.</w:t>
      </w:r>
    </w:p>
    <w:p w:rsidR="003F21F9" w:rsidRPr="003565EB" w:rsidRDefault="003F21F9" w:rsidP="003F21F9">
      <w:pPr>
        <w:spacing w:before="200" w:after="200" w:line="360" w:lineRule="auto"/>
        <w:jc w:val="both"/>
        <w:rPr>
          <w:rFonts w:ascii="Palatino Linotype" w:hAnsi="Palatino Linotype"/>
        </w:rPr>
      </w:pPr>
      <w:r w:rsidRPr="003565EB">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3565EB">
        <w:rPr>
          <w:rFonts w:ascii="Palatino Linotype" w:hAnsi="Palatino Linotype" w:cs="Arial"/>
        </w:rPr>
        <w:t>Constitución</w:t>
      </w:r>
      <w:r w:rsidRPr="003565EB">
        <w:rPr>
          <w:rFonts w:ascii="Palatino Linotype" w:hAnsi="Palatino Linotype"/>
        </w:rPr>
        <w:t xml:space="preserve"> Federal, como la Constitución Política del Estado </w:t>
      </w:r>
      <w:r w:rsidRPr="003565EB">
        <w:rPr>
          <w:rFonts w:ascii="Palatino Linotype" w:hAnsi="Palatino Linotype"/>
          <w:szCs w:val="20"/>
        </w:rPr>
        <w:t>Libre</w:t>
      </w:r>
      <w:r w:rsidRPr="003565EB">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3F21F9" w:rsidRPr="003565EB" w:rsidRDefault="003F21F9" w:rsidP="003F21F9">
      <w:pPr>
        <w:spacing w:before="200" w:after="200" w:line="360" w:lineRule="auto"/>
        <w:jc w:val="both"/>
        <w:rPr>
          <w:rFonts w:ascii="Palatino Linotype" w:hAnsi="Palatino Linotype"/>
        </w:rPr>
      </w:pPr>
      <w:r w:rsidRPr="003565EB">
        <w:rPr>
          <w:rFonts w:ascii="Palatino Linotype" w:hAnsi="Palatino Linotype"/>
        </w:rPr>
        <w:t xml:space="preserve">Asimismo, se estima que el requisito relativo al nombre de la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3565EB">
        <w:rPr>
          <w:rFonts w:ascii="Palatino Linotype" w:hAnsi="Palatino Linotype"/>
          <w:szCs w:val="20"/>
        </w:rPr>
        <w:t>debido</w:t>
      </w:r>
      <w:r w:rsidRPr="003565EB">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565EB">
        <w:rPr>
          <w:rFonts w:ascii="Palatino Linotype" w:hAnsi="Palatino Linotype" w:cs="Arial"/>
          <w:b/>
        </w:rPr>
        <w:t>LA RECURRENTE</w:t>
      </w:r>
      <w:r w:rsidRPr="003565EB">
        <w:rPr>
          <w:rFonts w:ascii="Palatino Linotype" w:hAnsi="Palatino Linotype"/>
        </w:rPr>
        <w:t>, es la misma persona que realizó la solicitud de acceso a la información pública que ahora se impugna.</w:t>
      </w:r>
    </w:p>
    <w:p w:rsidR="003F21F9" w:rsidRPr="003565EB" w:rsidRDefault="003F21F9" w:rsidP="003F21F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3565EB">
        <w:rPr>
          <w:rFonts w:ascii="Palatino Linotype" w:hAnsi="Palatino Linotype"/>
        </w:rPr>
        <w:t xml:space="preserve">En adición a lo anterior, el propio artículo 180 en su último párrafo establece que cuando el recurso se interponga de </w:t>
      </w:r>
      <w:r w:rsidRPr="003565EB">
        <w:rPr>
          <w:rFonts w:ascii="Palatino Linotype" w:hAnsi="Palatino Linotype"/>
          <w:szCs w:val="20"/>
        </w:rPr>
        <w:t>manera</w:t>
      </w:r>
      <w:r w:rsidRPr="003565EB">
        <w:rPr>
          <w:rFonts w:ascii="Palatino Linotype" w:hAnsi="Palatino Linotype"/>
        </w:rPr>
        <w:t xml:space="preserve"> electrónica no será indispensable que contenga determinados requisitos, entre ellos, el nombre de la hoy</w:t>
      </w:r>
      <w:r w:rsidRPr="003565EB">
        <w:rPr>
          <w:rFonts w:ascii="Palatino Linotype" w:hAnsi="Palatino Linotype" w:cs="Arial"/>
          <w:b/>
        </w:rPr>
        <w:t xml:space="preserve"> RECURRENTE</w:t>
      </w:r>
      <w:r w:rsidRPr="003565EB">
        <w:rPr>
          <w:rFonts w:ascii="Palatino Linotype" w:hAnsi="Palatino Linotype"/>
        </w:rPr>
        <w:t xml:space="preserve">, por </w:t>
      </w:r>
      <w:r w:rsidRPr="003565EB">
        <w:rPr>
          <w:rFonts w:ascii="Palatino Linotype" w:hAnsi="Palatino Linotype"/>
        </w:rPr>
        <w:lastRenderedPageBreak/>
        <w:t xml:space="preserve">lo que en el presente caso, al haber sido presentado el recurso de revisión vía </w:t>
      </w:r>
      <w:r w:rsidRPr="003565EB">
        <w:rPr>
          <w:rFonts w:ascii="Palatino Linotype" w:hAnsi="Palatino Linotype"/>
          <w:b/>
        </w:rPr>
        <w:t>SAIMEX</w:t>
      </w:r>
      <w:r w:rsidRPr="003565EB">
        <w:rPr>
          <w:rFonts w:ascii="Palatino Linotype" w:hAnsi="Palatino Linotype"/>
        </w:rPr>
        <w:t>, dicho requisito resulta innecesario.</w:t>
      </w:r>
    </w:p>
    <w:p w:rsidR="003F21F9" w:rsidRPr="003565EB" w:rsidRDefault="003F21F9" w:rsidP="003F21F9">
      <w:pPr>
        <w:spacing w:before="100" w:beforeAutospacing="1" w:after="100" w:afterAutospacing="1" w:line="360" w:lineRule="auto"/>
        <w:jc w:val="both"/>
        <w:rPr>
          <w:rFonts w:ascii="Palatino Linotype" w:hAnsi="Palatino Linotype" w:cs="Arial"/>
        </w:rPr>
      </w:pPr>
      <w:r w:rsidRPr="003565EB">
        <w:rPr>
          <w:rFonts w:ascii="Palatino Linotype" w:hAnsi="Palatino Linotype" w:cs="Arial"/>
          <w:b/>
          <w:sz w:val="28"/>
          <w:szCs w:val="28"/>
        </w:rPr>
        <w:t>QUINTO.</w:t>
      </w:r>
      <w:r w:rsidRPr="003565EB">
        <w:rPr>
          <w:rFonts w:ascii="Palatino Linotype" w:hAnsi="Palatino Linotype" w:cs="Arial"/>
          <w:b/>
        </w:rPr>
        <w:t xml:space="preserve"> Estudio y resolución del asunto</w:t>
      </w:r>
      <w:r w:rsidRPr="003565EB">
        <w:rPr>
          <w:rFonts w:ascii="Palatino Linotype" w:hAnsi="Palatino Linotype"/>
          <w:b/>
        </w:rPr>
        <w:t>.</w:t>
      </w:r>
      <w:r w:rsidRPr="003565EB">
        <w:rPr>
          <w:rFonts w:ascii="Palatino Linotype" w:hAnsi="Palatino Linotype" w:cs="Arial"/>
          <w:b/>
          <w:color w:val="000000" w:themeColor="text1"/>
        </w:rPr>
        <w:t xml:space="preserve"> </w:t>
      </w:r>
      <w:r w:rsidRPr="003565EB">
        <w:rPr>
          <w:rFonts w:ascii="Palatino Linotype" w:hAnsi="Palatino Linotype" w:cs="Arial"/>
        </w:rPr>
        <w:t>Del análisis efectuado se advierte que el recurso de revisión de que se trata es procedente, toda vez que se actualiza la hipótesis prevista en la fracción</w:t>
      </w:r>
      <w:r w:rsidR="00140BF6" w:rsidRPr="003565EB">
        <w:rPr>
          <w:rFonts w:ascii="Palatino Linotype" w:hAnsi="Palatino Linotype" w:cs="Arial"/>
        </w:rPr>
        <w:t xml:space="preserve"> </w:t>
      </w:r>
      <w:r w:rsidRPr="003565EB">
        <w:rPr>
          <w:rFonts w:ascii="Palatino Linotype" w:hAnsi="Palatino Linotype" w:cs="Arial"/>
        </w:rPr>
        <w:t>II  del artículo 179 de la Ley de la materia, que a la letra dice:</w:t>
      </w:r>
    </w:p>
    <w:p w:rsidR="003F21F9" w:rsidRPr="003565EB" w:rsidRDefault="003F21F9" w:rsidP="003F21F9">
      <w:pPr>
        <w:ind w:left="851" w:right="902"/>
        <w:jc w:val="both"/>
        <w:rPr>
          <w:rFonts w:ascii="Palatino Linotype" w:hAnsi="Palatino Linotype" w:cs="Arial"/>
          <w:bCs/>
          <w:i/>
          <w:sz w:val="22"/>
          <w:szCs w:val="22"/>
        </w:rPr>
      </w:pPr>
      <w:r w:rsidRPr="003565EB">
        <w:rPr>
          <w:rFonts w:ascii="Palatino Linotype" w:hAnsi="Palatino Linotype" w:cs="Arial"/>
          <w:bCs/>
          <w:i/>
          <w:sz w:val="22"/>
          <w:szCs w:val="22"/>
        </w:rPr>
        <w:t>“</w:t>
      </w:r>
      <w:r w:rsidRPr="003565EB">
        <w:rPr>
          <w:rFonts w:ascii="Palatino Linotype" w:hAnsi="Palatino Linotype" w:cs="Arial"/>
          <w:b/>
          <w:bCs/>
          <w:i/>
          <w:sz w:val="22"/>
          <w:szCs w:val="22"/>
        </w:rPr>
        <w:t>Artículo 179.</w:t>
      </w:r>
      <w:r w:rsidRPr="003565EB">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3F21F9" w:rsidRPr="003565EB" w:rsidRDefault="003F21F9" w:rsidP="003F21F9">
      <w:pPr>
        <w:ind w:left="851" w:right="902"/>
        <w:jc w:val="both"/>
        <w:rPr>
          <w:rFonts w:ascii="Palatino Linotype" w:hAnsi="Palatino Linotype" w:cs="Arial"/>
          <w:bCs/>
          <w:i/>
          <w:sz w:val="22"/>
          <w:szCs w:val="22"/>
        </w:rPr>
      </w:pPr>
      <w:r w:rsidRPr="003565EB">
        <w:rPr>
          <w:rFonts w:ascii="Palatino Linotype" w:hAnsi="Palatino Linotype" w:cs="Arial"/>
          <w:b/>
          <w:bCs/>
          <w:i/>
          <w:sz w:val="22"/>
          <w:szCs w:val="22"/>
        </w:rPr>
        <w:t>…</w:t>
      </w:r>
    </w:p>
    <w:p w:rsidR="003F21F9" w:rsidRPr="003565EB" w:rsidRDefault="003F21F9" w:rsidP="003F21F9">
      <w:pPr>
        <w:ind w:left="851" w:right="902"/>
        <w:jc w:val="both"/>
        <w:rPr>
          <w:rFonts w:ascii="Palatino Linotype" w:hAnsi="Palatino Linotype" w:cs="Arial"/>
          <w:b/>
          <w:bCs/>
          <w:i/>
          <w:sz w:val="22"/>
          <w:szCs w:val="22"/>
        </w:rPr>
      </w:pPr>
      <w:r w:rsidRPr="003565EB">
        <w:rPr>
          <w:rFonts w:ascii="Palatino Linotype" w:hAnsi="Palatino Linotype" w:cs="Arial"/>
          <w:b/>
          <w:bCs/>
          <w:i/>
          <w:sz w:val="22"/>
          <w:szCs w:val="22"/>
        </w:rPr>
        <w:t xml:space="preserve">II. La </w:t>
      </w:r>
      <w:r w:rsidR="00140BF6" w:rsidRPr="003565EB">
        <w:rPr>
          <w:rFonts w:ascii="Palatino Linotype" w:hAnsi="Palatino Linotype" w:cs="Arial"/>
          <w:b/>
          <w:bCs/>
          <w:i/>
          <w:sz w:val="22"/>
          <w:szCs w:val="22"/>
        </w:rPr>
        <w:t xml:space="preserve">clasificación de la </w:t>
      </w:r>
      <w:r w:rsidRPr="003565EB">
        <w:rPr>
          <w:rFonts w:ascii="Palatino Linotype" w:hAnsi="Palatino Linotype" w:cs="Arial"/>
          <w:b/>
          <w:bCs/>
          <w:i/>
          <w:sz w:val="22"/>
          <w:szCs w:val="22"/>
        </w:rPr>
        <w:t>información;</w:t>
      </w:r>
    </w:p>
    <w:p w:rsidR="003F21F9" w:rsidRPr="003565EB" w:rsidRDefault="003F21F9" w:rsidP="003F21F9">
      <w:pPr>
        <w:ind w:left="851" w:right="902"/>
        <w:jc w:val="both"/>
        <w:rPr>
          <w:rFonts w:ascii="Palatino Linotype" w:hAnsi="Palatino Linotype" w:cs="Arial"/>
          <w:b/>
          <w:bCs/>
          <w:i/>
          <w:sz w:val="22"/>
          <w:szCs w:val="22"/>
        </w:rPr>
      </w:pPr>
      <w:r w:rsidRPr="003565EB">
        <w:rPr>
          <w:rFonts w:ascii="Palatino Linotype" w:hAnsi="Palatino Linotype" w:cs="Arial"/>
          <w:b/>
          <w:bCs/>
          <w:i/>
          <w:sz w:val="22"/>
          <w:szCs w:val="22"/>
        </w:rPr>
        <w:t xml:space="preserve">…” </w:t>
      </w:r>
      <w:r w:rsidRPr="003565EB">
        <w:rPr>
          <w:rFonts w:ascii="Palatino Linotype" w:hAnsi="Palatino Linotype" w:cs="Arial"/>
          <w:bCs/>
          <w:i/>
          <w:sz w:val="22"/>
          <w:szCs w:val="22"/>
        </w:rPr>
        <w:t>(Énfasis añadido)</w:t>
      </w:r>
    </w:p>
    <w:p w:rsidR="00140BF6" w:rsidRPr="003565EB" w:rsidRDefault="003F21F9" w:rsidP="00081D05">
      <w:pPr>
        <w:autoSpaceDE w:val="0"/>
        <w:autoSpaceDN w:val="0"/>
        <w:adjustRightInd w:val="0"/>
        <w:spacing w:before="100" w:beforeAutospacing="1" w:after="100" w:afterAutospacing="1" w:line="360" w:lineRule="auto"/>
        <w:ind w:right="49"/>
        <w:jc w:val="both"/>
        <w:rPr>
          <w:rFonts w:ascii="Palatino Linotype" w:hAnsi="Palatino Linotype" w:cs="Arial"/>
        </w:rPr>
      </w:pPr>
      <w:r w:rsidRPr="003565EB">
        <w:rPr>
          <w:rFonts w:ascii="Palatino Linotype" w:hAnsi="Palatino Linotype" w:cs="Arial"/>
        </w:rPr>
        <w:t xml:space="preserve">El precepto legal citado, establece como supuesto de procedencia del recurso de revisión, en aquellos casos en que </w:t>
      </w:r>
      <w:r w:rsidR="00140BF6" w:rsidRPr="003565EB">
        <w:rPr>
          <w:rFonts w:ascii="Palatino Linotype" w:hAnsi="Palatino Linotype" w:cs="Arial"/>
        </w:rPr>
        <w:t>los Su</w:t>
      </w:r>
      <w:r w:rsidR="00081D05" w:rsidRPr="003565EB">
        <w:rPr>
          <w:rFonts w:ascii="Palatino Linotype" w:hAnsi="Palatino Linotype" w:cs="Arial"/>
        </w:rPr>
        <w:t xml:space="preserve">jetos Obligados clasifiquen la </w:t>
      </w:r>
      <w:r w:rsidR="00140BF6" w:rsidRPr="003565EB">
        <w:rPr>
          <w:rFonts w:ascii="Palatino Linotype" w:hAnsi="Palatino Linotype" w:cs="Arial"/>
        </w:rPr>
        <w:t xml:space="preserve">información como confidencial o reservada; </w:t>
      </w:r>
      <w:r w:rsidR="0092143E" w:rsidRPr="003565EB">
        <w:rPr>
          <w:rFonts w:ascii="Palatino Linotype" w:hAnsi="Palatino Linotype" w:cs="Arial"/>
        </w:rPr>
        <w:t xml:space="preserve">por ello, </w:t>
      </w:r>
      <w:r w:rsidRPr="003565EB">
        <w:rPr>
          <w:rFonts w:ascii="Palatino Linotype" w:hAnsi="Palatino Linotype"/>
        </w:rPr>
        <w:t xml:space="preserve">debemos recordar que la particular solicitó del </w:t>
      </w:r>
      <w:r w:rsidRPr="003565EB">
        <w:rPr>
          <w:rFonts w:ascii="Palatino Linotype" w:hAnsi="Palatino Linotype"/>
          <w:b/>
        </w:rPr>
        <w:t xml:space="preserve">SUJETO OBLIGADO </w:t>
      </w:r>
      <w:r w:rsidR="00A17446" w:rsidRPr="003565EB">
        <w:rPr>
          <w:rFonts w:ascii="Palatino Linotype" w:hAnsi="Palatino Linotype"/>
        </w:rPr>
        <w:t xml:space="preserve">la </w:t>
      </w:r>
      <w:r w:rsidR="008D0F92" w:rsidRPr="003565EB">
        <w:rPr>
          <w:rFonts w:ascii="Palatino Linotype" w:hAnsi="Palatino Linotype"/>
          <w:b/>
        </w:rPr>
        <w:t>consulta</w:t>
      </w:r>
      <w:r w:rsidR="008D0F92" w:rsidRPr="003565EB">
        <w:rPr>
          <w:rStyle w:val="Refdenotaalpie"/>
          <w:rFonts w:ascii="Palatino Linotype" w:hAnsi="Palatino Linotype"/>
          <w:b/>
        </w:rPr>
        <w:footnoteReference w:id="1"/>
      </w:r>
      <w:r w:rsidR="00A17446" w:rsidRPr="003565EB">
        <w:rPr>
          <w:rFonts w:ascii="Palatino Linotype" w:hAnsi="Palatino Linotype"/>
        </w:rPr>
        <w:t xml:space="preserve"> de </w:t>
      </w:r>
      <w:r w:rsidR="00140BF6" w:rsidRPr="003565EB">
        <w:rPr>
          <w:rFonts w:ascii="Palatino Linotype" w:hAnsi="Palatino Linotype"/>
        </w:rPr>
        <w:t>todas y cada una de las actas de entrega recepción que se realizaron en todas las dependencias del Ayuntamiento, del 1 al 25 de enero de 2019</w:t>
      </w:r>
      <w:r w:rsidR="00140BF6" w:rsidRPr="003565EB">
        <w:rPr>
          <w:rStyle w:val="Refdenotaalpie"/>
          <w:rFonts w:ascii="Palatino Linotype" w:hAnsi="Palatino Linotype"/>
        </w:rPr>
        <w:footnoteReference w:id="2"/>
      </w:r>
      <w:r w:rsidR="00140BF6" w:rsidRPr="003565EB">
        <w:rPr>
          <w:rFonts w:ascii="Palatino Linotype" w:hAnsi="Palatino Linotype"/>
        </w:rPr>
        <w:t>.</w:t>
      </w:r>
    </w:p>
    <w:p w:rsidR="00140BF6" w:rsidRPr="003565EB" w:rsidRDefault="003F21F9" w:rsidP="003F21F9">
      <w:pPr>
        <w:spacing w:before="100" w:beforeAutospacing="1" w:after="100" w:afterAutospacing="1" w:line="360" w:lineRule="auto"/>
        <w:jc w:val="both"/>
        <w:rPr>
          <w:rFonts w:ascii="Palatino Linotype" w:hAnsi="Palatino Linotype"/>
        </w:rPr>
      </w:pPr>
      <w:r w:rsidRPr="003565EB">
        <w:rPr>
          <w:rFonts w:ascii="Palatino Linotype" w:hAnsi="Palatino Linotype"/>
        </w:rPr>
        <w:t>Así,</w:t>
      </w:r>
      <w:r w:rsidR="00140BF6" w:rsidRPr="003565EB">
        <w:rPr>
          <w:rFonts w:ascii="Palatino Linotype" w:hAnsi="Palatino Linotype"/>
        </w:rPr>
        <w:t xml:space="preserve"> de las constancias que obran en el expediente electrónico del </w:t>
      </w:r>
      <w:r w:rsidR="00140BF6" w:rsidRPr="003565EB">
        <w:rPr>
          <w:rFonts w:ascii="Palatino Linotype" w:hAnsi="Palatino Linotype"/>
          <w:b/>
        </w:rPr>
        <w:t>SAIMEX</w:t>
      </w:r>
      <w:r w:rsidR="00A17446" w:rsidRPr="003565EB">
        <w:rPr>
          <w:rFonts w:ascii="Palatino Linotype" w:hAnsi="Palatino Linotype"/>
        </w:rPr>
        <w:t xml:space="preserve">; </w:t>
      </w:r>
      <w:r w:rsidR="00140BF6" w:rsidRPr="003565EB">
        <w:rPr>
          <w:rFonts w:ascii="Palatino Linotype" w:hAnsi="Palatino Linotype"/>
        </w:rPr>
        <w:t>y tal como</w:t>
      </w:r>
      <w:r w:rsidR="00A17446" w:rsidRPr="003565EB">
        <w:rPr>
          <w:rFonts w:ascii="Palatino Linotype" w:hAnsi="Palatino Linotype"/>
        </w:rPr>
        <w:t>,</w:t>
      </w:r>
      <w:r w:rsidR="00140BF6" w:rsidRPr="003565EB">
        <w:rPr>
          <w:rFonts w:ascii="Palatino Linotype" w:hAnsi="Palatino Linotype"/>
        </w:rPr>
        <w:t xml:space="preserve"> se señaló en párrafos que anteceden, se puede advertir que </w:t>
      </w:r>
      <w:r w:rsidR="00140BF6" w:rsidRPr="003565EB">
        <w:rPr>
          <w:rFonts w:ascii="Palatino Linotype" w:hAnsi="Palatino Linotype"/>
          <w:b/>
        </w:rPr>
        <w:t xml:space="preserve">EL SUJETO OBLIGADO </w:t>
      </w:r>
      <w:r w:rsidR="00140BF6" w:rsidRPr="003565EB">
        <w:rPr>
          <w:rFonts w:ascii="Palatino Linotype" w:hAnsi="Palatino Linotype"/>
        </w:rPr>
        <w:t>en respuesta manifestó que la Contraloría Municipal tenía bajo su</w:t>
      </w:r>
      <w:r w:rsidR="00A17446" w:rsidRPr="003565EB">
        <w:rPr>
          <w:rFonts w:ascii="Palatino Linotype" w:hAnsi="Palatino Linotype"/>
        </w:rPr>
        <w:t xml:space="preserve"> resguardo las actas </w:t>
      </w:r>
      <w:r w:rsidR="00A17446" w:rsidRPr="003565EB">
        <w:rPr>
          <w:rFonts w:ascii="Palatino Linotype" w:hAnsi="Palatino Linotype"/>
        </w:rPr>
        <w:lastRenderedPageBreak/>
        <w:t>de entrega-</w:t>
      </w:r>
      <w:r w:rsidR="00140BF6" w:rsidRPr="003565EB">
        <w:rPr>
          <w:rFonts w:ascii="Palatino Linotype" w:hAnsi="Palatino Linotype"/>
        </w:rPr>
        <w:t>recepción que se llevaron a cabo</w:t>
      </w:r>
      <w:r w:rsidR="00A17446" w:rsidRPr="003565EB">
        <w:rPr>
          <w:rFonts w:ascii="Palatino Linotype" w:hAnsi="Palatino Linotype"/>
        </w:rPr>
        <w:t>,</w:t>
      </w:r>
      <w:r w:rsidR="00140BF6" w:rsidRPr="003565EB">
        <w:rPr>
          <w:rFonts w:ascii="Palatino Linotype" w:hAnsi="Palatino Linotype"/>
        </w:rPr>
        <w:t xml:space="preserve"> en cada una de las áreas de la Administración Pública del Municipio; sin embargo, refirió que dichas actas contenían datos personales de los servidores públic</w:t>
      </w:r>
      <w:r w:rsidR="00E43744" w:rsidRPr="003565EB">
        <w:rPr>
          <w:rFonts w:ascii="Palatino Linotype" w:hAnsi="Palatino Linotype"/>
        </w:rPr>
        <w:t>os entrantes y salientes; por lo que</w:t>
      </w:r>
      <w:r w:rsidR="00A17446" w:rsidRPr="003565EB">
        <w:rPr>
          <w:rFonts w:ascii="Palatino Linotype" w:hAnsi="Palatino Linotype"/>
        </w:rPr>
        <w:t>,</w:t>
      </w:r>
      <w:r w:rsidR="00E43744" w:rsidRPr="003565EB">
        <w:rPr>
          <w:rFonts w:ascii="Palatino Linotype" w:hAnsi="Palatino Linotype"/>
        </w:rPr>
        <w:t xml:space="preserve"> no e</w:t>
      </w:r>
      <w:r w:rsidR="0092143E" w:rsidRPr="003565EB">
        <w:rPr>
          <w:rFonts w:ascii="Palatino Linotype" w:hAnsi="Palatino Linotype"/>
        </w:rPr>
        <w:t>ra</w:t>
      </w:r>
      <w:r w:rsidR="00E43744" w:rsidRPr="003565EB">
        <w:rPr>
          <w:rFonts w:ascii="Palatino Linotype" w:hAnsi="Palatino Linotype"/>
        </w:rPr>
        <w:t xml:space="preserve"> posible poner a disposición de la solicitante dichas actas para su consulta</w:t>
      </w:r>
      <w:r w:rsidR="008D0F92" w:rsidRPr="003565EB">
        <w:rPr>
          <w:rFonts w:ascii="Palatino Linotype" w:hAnsi="Palatino Linotype"/>
        </w:rPr>
        <w:t>,</w:t>
      </w:r>
      <w:r w:rsidR="00E43744" w:rsidRPr="003565EB">
        <w:rPr>
          <w:rFonts w:ascii="Palatino Linotype" w:hAnsi="Palatino Linotype"/>
        </w:rPr>
        <w:t xml:space="preserve"> ello de conformidad con lo establecido en el artículo 143, fracción I de la Ley de la materia.</w:t>
      </w:r>
    </w:p>
    <w:p w:rsidR="00BC77E0" w:rsidRPr="003565EB" w:rsidRDefault="00E43744" w:rsidP="003F21F9">
      <w:pPr>
        <w:spacing w:before="100" w:beforeAutospacing="1" w:after="100" w:afterAutospacing="1" w:line="360" w:lineRule="auto"/>
        <w:jc w:val="both"/>
        <w:rPr>
          <w:rFonts w:ascii="Palatino Linotype" w:hAnsi="Palatino Linotype"/>
        </w:rPr>
      </w:pPr>
      <w:r w:rsidRPr="003565EB">
        <w:rPr>
          <w:rFonts w:ascii="Palatino Linotype" w:hAnsi="Palatino Linotype"/>
        </w:rPr>
        <w:t xml:space="preserve">Inconforme con dicha respuesta, </w:t>
      </w:r>
      <w:r w:rsidRPr="003565EB">
        <w:rPr>
          <w:rFonts w:ascii="Palatino Linotype" w:hAnsi="Palatino Linotype"/>
          <w:b/>
        </w:rPr>
        <w:t>LA RECURRENTE</w:t>
      </w:r>
      <w:r w:rsidRPr="003565EB">
        <w:rPr>
          <w:rFonts w:ascii="Palatino Linotype" w:hAnsi="Palatino Linotype"/>
        </w:rPr>
        <w:t xml:space="preserve"> </w:t>
      </w:r>
      <w:r w:rsidR="00A17446" w:rsidRPr="003565EB">
        <w:rPr>
          <w:rFonts w:ascii="Palatino Linotype" w:hAnsi="Palatino Linotype"/>
        </w:rPr>
        <w:t xml:space="preserve">interpuso </w:t>
      </w:r>
      <w:r w:rsidRPr="003565EB">
        <w:rPr>
          <w:rFonts w:ascii="Palatino Linotype" w:hAnsi="Palatino Linotype"/>
        </w:rPr>
        <w:t>el medio de impugnación al rubro indicado, en el que señaló como razones o motivos lo</w:t>
      </w:r>
      <w:r w:rsidR="00BC77E0" w:rsidRPr="003565EB">
        <w:rPr>
          <w:rFonts w:ascii="Palatino Linotype" w:hAnsi="Palatino Linotype"/>
        </w:rPr>
        <w:t xml:space="preserve"> siguiente:</w:t>
      </w:r>
    </w:p>
    <w:p w:rsidR="00BC77E0" w:rsidRPr="003565EB" w:rsidRDefault="00BC77E0" w:rsidP="00BC77E0">
      <w:pPr>
        <w:ind w:left="851" w:right="899"/>
        <w:jc w:val="both"/>
        <w:rPr>
          <w:rFonts w:ascii="Palatino Linotype" w:hAnsi="Palatino Linotype"/>
          <w:i/>
          <w:sz w:val="22"/>
          <w:szCs w:val="22"/>
        </w:rPr>
      </w:pPr>
      <w:r w:rsidRPr="003565EB">
        <w:rPr>
          <w:rFonts w:ascii="Palatino Linotype" w:hAnsi="Palatino Linotype"/>
          <w:i/>
          <w:color w:val="000000"/>
          <w:sz w:val="22"/>
          <w:szCs w:val="22"/>
        </w:rPr>
        <w:t xml:space="preserve">“El motivo de mi inconformidad es en razón de que las actas de entrega recepción son información pública, y que la negativa de no mostrar o dar dicha información, es una clara muestra de desconocimiento de la Ley de Transparencia y Acceso a la Información Pública en Posesión de los Sujetos </w:t>
      </w:r>
      <w:r w:rsidR="008D0F92" w:rsidRPr="003565EB">
        <w:rPr>
          <w:rFonts w:ascii="Palatino Linotype" w:hAnsi="Palatino Linotype"/>
          <w:i/>
          <w:color w:val="000000"/>
          <w:sz w:val="22"/>
          <w:szCs w:val="22"/>
        </w:rPr>
        <w:t>obligados, y</w:t>
      </w:r>
      <w:r w:rsidRPr="003565EB">
        <w:rPr>
          <w:rFonts w:ascii="Palatino Linotype" w:hAnsi="Palatino Linotype"/>
          <w:i/>
          <w:color w:val="000000"/>
          <w:sz w:val="22"/>
          <w:szCs w:val="22"/>
        </w:rPr>
        <w:t xml:space="preserve"> </w:t>
      </w:r>
      <w:r w:rsidRPr="003565EB">
        <w:rPr>
          <w:rFonts w:ascii="Palatino Linotype" w:hAnsi="Palatino Linotype"/>
          <w:b/>
          <w:i/>
          <w:color w:val="000000"/>
          <w:sz w:val="22"/>
          <w:szCs w:val="22"/>
        </w:rPr>
        <w:t>violación a mi derecho a acceso a la misma,</w:t>
      </w:r>
      <w:r w:rsidRPr="003565EB">
        <w:rPr>
          <w:rFonts w:ascii="Palatino Linotype" w:hAnsi="Palatino Linotype"/>
          <w:i/>
          <w:color w:val="000000"/>
          <w:sz w:val="22"/>
          <w:szCs w:val="22"/>
        </w:rPr>
        <w:t xml:space="preserve"> ya que el comité de transparencia de manera oficiosa debe de someter a valoración y determinar fundada y motivada, la generación de las versiones públicas testando, cuando los documentos requeridos contengan datos personales</w:t>
      </w:r>
      <w:r w:rsidR="00A17446" w:rsidRPr="003565EB">
        <w:rPr>
          <w:rFonts w:ascii="Palatino Linotype" w:hAnsi="Palatino Linotype"/>
          <w:i/>
          <w:color w:val="000000"/>
          <w:sz w:val="22"/>
          <w:szCs w:val="22"/>
        </w:rPr>
        <w:t>.” (Énfasis añadido</w:t>
      </w:r>
      <w:r w:rsidRPr="003565EB">
        <w:rPr>
          <w:rFonts w:ascii="Palatino Linotype" w:hAnsi="Palatino Linotype"/>
          <w:i/>
          <w:color w:val="000000"/>
          <w:sz w:val="22"/>
          <w:szCs w:val="22"/>
        </w:rPr>
        <w:t>)</w:t>
      </w:r>
    </w:p>
    <w:p w:rsidR="003D64EB" w:rsidRPr="003565EB" w:rsidRDefault="00E43744" w:rsidP="003D64EB">
      <w:pPr>
        <w:spacing w:before="100" w:beforeAutospacing="1" w:after="100" w:afterAutospacing="1" w:line="360" w:lineRule="auto"/>
        <w:jc w:val="both"/>
        <w:rPr>
          <w:rFonts w:ascii="Palatino Linotype" w:hAnsi="Palatino Linotype"/>
        </w:rPr>
      </w:pPr>
      <w:r w:rsidRPr="003565EB">
        <w:rPr>
          <w:rFonts w:ascii="Palatino Linotype" w:hAnsi="Palatino Linotype"/>
        </w:rPr>
        <w:t xml:space="preserve">Bajo ese tenor, </w:t>
      </w:r>
      <w:r w:rsidR="003F21F9" w:rsidRPr="003565EB">
        <w:rPr>
          <w:rFonts w:ascii="Palatino Linotype" w:hAnsi="Palatino Linotype"/>
        </w:rPr>
        <w:t xml:space="preserve">mediante Informe Justificado </w:t>
      </w:r>
      <w:r w:rsidR="003F21F9" w:rsidRPr="003565EB">
        <w:rPr>
          <w:rFonts w:ascii="Palatino Linotype" w:hAnsi="Palatino Linotype"/>
          <w:b/>
        </w:rPr>
        <w:t xml:space="preserve">EL SUJETO OBLIGADO </w:t>
      </w:r>
      <w:r w:rsidR="009649CA" w:rsidRPr="003565EB">
        <w:rPr>
          <w:rFonts w:ascii="Palatino Linotype" w:hAnsi="Palatino Linotype"/>
        </w:rPr>
        <w:t xml:space="preserve">manifestó haber colmado el derecho de acceso a la información, toda vez que, la solicitante requirió se le hiciera de conocimiento el lugar en donde podía consultar la actas de </w:t>
      </w:r>
      <w:r w:rsidR="00241845" w:rsidRPr="003565EB">
        <w:rPr>
          <w:rFonts w:ascii="Palatino Linotype" w:hAnsi="Palatino Linotype"/>
        </w:rPr>
        <w:t>entrega</w:t>
      </w:r>
      <w:r w:rsidR="009649CA" w:rsidRPr="003565EB">
        <w:rPr>
          <w:rFonts w:ascii="Palatino Linotype" w:hAnsi="Palatino Linotype"/>
        </w:rPr>
        <w:t xml:space="preserve"> recepción de la actual administración municipal</w:t>
      </w:r>
      <w:r w:rsidR="00241845" w:rsidRPr="003565EB">
        <w:rPr>
          <w:rFonts w:ascii="Palatino Linotype" w:hAnsi="Palatino Linotype"/>
        </w:rPr>
        <w:t xml:space="preserve">, siendo la Contraloría Interna Municipal </w:t>
      </w:r>
      <w:r w:rsidR="00B03CC1" w:rsidRPr="003565EB">
        <w:rPr>
          <w:rFonts w:ascii="Palatino Linotype" w:hAnsi="Palatino Linotype"/>
        </w:rPr>
        <w:t xml:space="preserve">es </w:t>
      </w:r>
      <w:r w:rsidR="00241845" w:rsidRPr="003565EB">
        <w:rPr>
          <w:rFonts w:ascii="Palatino Linotype" w:hAnsi="Palatino Linotype"/>
        </w:rPr>
        <w:t>el área administrativa que resguarda dicha información</w:t>
      </w:r>
      <w:r w:rsidR="009649CA" w:rsidRPr="003565EB">
        <w:rPr>
          <w:rFonts w:ascii="Palatino Linotype" w:hAnsi="Palatino Linotype"/>
        </w:rPr>
        <w:t xml:space="preserve">; sin embargo, </w:t>
      </w:r>
      <w:r w:rsidR="00241845" w:rsidRPr="003565EB">
        <w:rPr>
          <w:rFonts w:ascii="Palatino Linotype" w:hAnsi="Palatino Linotype"/>
        </w:rPr>
        <w:t>le reiteró a la particular que no podía entregarla</w:t>
      </w:r>
      <w:r w:rsidR="00B03CC1" w:rsidRPr="003565EB">
        <w:rPr>
          <w:rFonts w:ascii="Palatino Linotype" w:hAnsi="Palatino Linotype"/>
        </w:rPr>
        <w:t xml:space="preserve">s, </w:t>
      </w:r>
      <w:r w:rsidR="00241845" w:rsidRPr="003565EB">
        <w:rPr>
          <w:rFonts w:ascii="Palatino Linotype" w:hAnsi="Palatino Linotype"/>
        </w:rPr>
        <w:t>toda vez que</w:t>
      </w:r>
      <w:r w:rsidR="00B03CC1" w:rsidRPr="003565EB">
        <w:rPr>
          <w:rFonts w:ascii="Palatino Linotype" w:hAnsi="Palatino Linotype"/>
        </w:rPr>
        <w:t>,</w:t>
      </w:r>
      <w:r w:rsidR="00241845" w:rsidRPr="003565EB">
        <w:rPr>
          <w:rFonts w:ascii="Palatino Linotype" w:hAnsi="Palatino Linotype"/>
        </w:rPr>
        <w:t xml:space="preserve"> contiene</w:t>
      </w:r>
      <w:r w:rsidR="00B03CC1" w:rsidRPr="003565EB">
        <w:rPr>
          <w:rFonts w:ascii="Palatino Linotype" w:hAnsi="Palatino Linotype"/>
        </w:rPr>
        <w:t>n</w:t>
      </w:r>
      <w:r w:rsidR="00241845" w:rsidRPr="003565EB">
        <w:rPr>
          <w:rFonts w:ascii="Palatino Linotype" w:hAnsi="Palatino Linotype"/>
        </w:rPr>
        <w:t xml:space="preserve"> datos personales.</w:t>
      </w:r>
    </w:p>
    <w:p w:rsidR="003D64EB" w:rsidRPr="003565EB" w:rsidRDefault="00196B31" w:rsidP="003D64EB">
      <w:pPr>
        <w:spacing w:before="100" w:beforeAutospacing="1" w:after="100" w:afterAutospacing="1" w:line="360" w:lineRule="auto"/>
        <w:jc w:val="both"/>
        <w:rPr>
          <w:rFonts w:ascii="Palatino Linotype" w:hAnsi="Palatino Linotype"/>
          <w:lang w:val="es-ES"/>
        </w:rPr>
      </w:pPr>
      <w:r w:rsidRPr="003565EB">
        <w:rPr>
          <w:rFonts w:ascii="Palatino Linotype" w:hAnsi="Palatino Linotype"/>
          <w:color w:val="222222"/>
          <w:lang w:eastAsia="es-MX"/>
        </w:rPr>
        <w:t xml:space="preserve">Expuesto lo anterior, </w:t>
      </w:r>
      <w:r w:rsidR="003D64EB" w:rsidRPr="003565EB">
        <w:rPr>
          <w:rFonts w:ascii="Palatino Linotype" w:hAnsi="Palatino Linotype"/>
          <w:lang w:val="es-ES"/>
        </w:rPr>
        <w:t xml:space="preserve">es de precisar que se obvia el análisis de la competencia por parte del </w:t>
      </w:r>
      <w:r w:rsidR="003D64EB" w:rsidRPr="003565EB">
        <w:rPr>
          <w:rFonts w:ascii="Palatino Linotype" w:hAnsi="Palatino Linotype"/>
          <w:b/>
          <w:lang w:val="es-ES"/>
        </w:rPr>
        <w:t>SUJETO OBLIGADO</w:t>
      </w:r>
      <w:r w:rsidR="003D64EB" w:rsidRPr="003565EB">
        <w:rPr>
          <w:rFonts w:ascii="Palatino Linotype" w:hAnsi="Palatino Linotype"/>
          <w:lang w:val="es-ES"/>
        </w:rPr>
        <w:t xml:space="preserve"> para generar, administrar o poseer la información solicitada, dado que éste ha asumido la misma, en razón de que en su respuesta señaló que </w:t>
      </w:r>
      <w:r w:rsidR="00B03CC1" w:rsidRPr="003565EB">
        <w:rPr>
          <w:rFonts w:ascii="Palatino Linotype" w:hAnsi="Palatino Linotype"/>
          <w:lang w:val="es-ES"/>
        </w:rPr>
        <w:t xml:space="preserve">obraba en los archivos de la Contraloría Interna Municipal. </w:t>
      </w:r>
      <w:r w:rsidR="003D64EB" w:rsidRPr="003565EB">
        <w:rPr>
          <w:rFonts w:ascii="Palatino Linotype" w:hAnsi="Palatino Linotype"/>
          <w:lang w:val="es-ES"/>
        </w:rPr>
        <w:t xml:space="preserve">De esta forma, es claro que posee </w:t>
      </w:r>
      <w:r w:rsidR="003D64EB" w:rsidRPr="003565EB">
        <w:rPr>
          <w:rFonts w:ascii="Palatino Linotype" w:hAnsi="Palatino Linotype"/>
          <w:lang w:val="es-ES"/>
        </w:rPr>
        <w:lastRenderedPageBreak/>
        <w:t>dicha información</w:t>
      </w:r>
      <w:r w:rsidR="003D64EB" w:rsidRPr="003565EB">
        <w:rPr>
          <w:rFonts w:ascii="Palatino Linotype" w:eastAsia="Arial Unicode MS" w:hAnsi="Palatino Linotype" w:cs="Arial"/>
        </w:rPr>
        <w:t xml:space="preserve"> y a nada práctico nos conduciría su estudio, ya que se insiste la información pública solicitada fue asumida por </w:t>
      </w:r>
      <w:r w:rsidR="003D64EB" w:rsidRPr="003565EB">
        <w:rPr>
          <w:rFonts w:ascii="Palatino Linotype" w:eastAsia="Arial Unicode MS" w:hAnsi="Palatino Linotype" w:cs="Arial"/>
          <w:b/>
        </w:rPr>
        <w:t>EL</w:t>
      </w:r>
      <w:r w:rsidR="003D64EB" w:rsidRPr="003565EB">
        <w:rPr>
          <w:rFonts w:ascii="Palatino Linotype" w:eastAsia="Arial Unicode MS" w:hAnsi="Palatino Linotype" w:cs="Arial"/>
        </w:rPr>
        <w:t xml:space="preserve"> </w:t>
      </w:r>
      <w:r w:rsidR="003D64EB" w:rsidRPr="003565EB">
        <w:rPr>
          <w:rFonts w:ascii="Palatino Linotype" w:eastAsia="Arial Unicode MS" w:hAnsi="Palatino Linotype" w:cs="Arial"/>
          <w:b/>
        </w:rPr>
        <w:t>SUJETO OBLIGADO.</w:t>
      </w:r>
    </w:p>
    <w:p w:rsidR="006A61F1" w:rsidRPr="003565EB" w:rsidRDefault="006A61F1" w:rsidP="006A61F1">
      <w:pPr>
        <w:spacing w:before="100" w:beforeAutospacing="1" w:after="100" w:afterAutospacing="1" w:line="360" w:lineRule="auto"/>
        <w:jc w:val="both"/>
        <w:rPr>
          <w:rFonts w:ascii="Palatino Linotype" w:eastAsiaTheme="minorEastAsia" w:hAnsi="Palatino Linotype" w:cs="Arial"/>
          <w:lang w:val="es-ES_tradnl"/>
        </w:rPr>
      </w:pPr>
      <w:r w:rsidRPr="003565EB">
        <w:rPr>
          <w:rFonts w:ascii="Palatino Linotype" w:hAnsi="Palatino Linotype"/>
        </w:rPr>
        <w:t>Atento a ello, es</w:t>
      </w:r>
      <w:r w:rsidRPr="003565EB">
        <w:rPr>
          <w:rFonts w:ascii="Palatino Linotype" w:eastAsiaTheme="minorEastAsia" w:hAnsi="Palatino Linotype" w:cs="Arial"/>
          <w:lang w:val="es-ES_tradnl"/>
        </w:rPr>
        <w:t xml:space="preserve"> importante señalar que el artículo 4, párrafo segundo de la Ley de Transparencia y Acceso a la Información Pública del Estado de México y Municipios, dispone:</w:t>
      </w:r>
    </w:p>
    <w:p w:rsidR="006A61F1" w:rsidRPr="003565EB" w:rsidRDefault="006A61F1" w:rsidP="006A61F1">
      <w:pPr>
        <w:ind w:left="851" w:right="901"/>
        <w:jc w:val="both"/>
        <w:rPr>
          <w:rFonts w:ascii="Palatino Linotype" w:eastAsiaTheme="minorEastAsia" w:hAnsi="Palatino Linotype" w:cs="Arial"/>
          <w:i/>
          <w:color w:val="000000"/>
          <w:sz w:val="22"/>
          <w:szCs w:val="22"/>
          <w:lang w:val="es-ES_tradnl"/>
        </w:rPr>
      </w:pPr>
      <w:r w:rsidRPr="003565EB">
        <w:rPr>
          <w:rFonts w:ascii="Palatino Linotype" w:eastAsiaTheme="minorEastAsia" w:hAnsi="Palatino Linotype" w:cs="Arial"/>
          <w:i/>
          <w:sz w:val="22"/>
          <w:szCs w:val="22"/>
          <w:lang w:val="es-ES_tradnl"/>
        </w:rPr>
        <w:t>“</w:t>
      </w:r>
      <w:r w:rsidRPr="003565EB">
        <w:rPr>
          <w:rFonts w:ascii="Palatino Linotype" w:eastAsiaTheme="minorEastAsia" w:hAnsi="Palatino Linotype" w:cs="Arial"/>
          <w:b/>
          <w:i/>
          <w:color w:val="000000"/>
          <w:sz w:val="22"/>
          <w:szCs w:val="22"/>
          <w:lang w:val="es-ES_tradnl"/>
        </w:rPr>
        <w:t xml:space="preserve">Artículo 4. </w:t>
      </w:r>
      <w:r w:rsidRPr="003565EB">
        <w:rPr>
          <w:rFonts w:ascii="Palatino Linotype" w:eastAsiaTheme="minorEastAsia" w:hAnsi="Palatino Linotype" w:cs="Arial"/>
          <w:i/>
          <w:color w:val="000000"/>
          <w:sz w:val="22"/>
          <w:szCs w:val="22"/>
          <w:lang w:val="es-ES_tradnl"/>
        </w:rPr>
        <w:t xml:space="preserve">… </w:t>
      </w:r>
    </w:p>
    <w:p w:rsidR="006A61F1" w:rsidRPr="003565EB" w:rsidRDefault="006A61F1" w:rsidP="006A61F1">
      <w:pPr>
        <w:ind w:left="851" w:right="901"/>
        <w:jc w:val="both"/>
        <w:rPr>
          <w:rFonts w:ascii="Palatino Linotype" w:eastAsiaTheme="minorEastAsia" w:hAnsi="Palatino Linotype" w:cs="Arial"/>
          <w:i/>
          <w:color w:val="000000"/>
          <w:sz w:val="22"/>
          <w:szCs w:val="22"/>
          <w:lang w:val="es-ES_tradnl"/>
        </w:rPr>
      </w:pPr>
      <w:r w:rsidRPr="003565EB">
        <w:rPr>
          <w:rFonts w:ascii="Palatino Linotype" w:eastAsiaTheme="minorEastAsia" w:hAnsi="Palatino Linotype" w:cs="Arial"/>
          <w:i/>
          <w:color w:val="000000"/>
          <w:sz w:val="22"/>
          <w:szCs w:val="22"/>
          <w:lang w:val="es-ES_tradnl"/>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6A61F1" w:rsidRPr="003565EB" w:rsidRDefault="006A61F1" w:rsidP="006A61F1">
      <w:pPr>
        <w:ind w:left="851" w:right="901"/>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i/>
          <w:color w:val="000000"/>
          <w:sz w:val="22"/>
          <w:szCs w:val="22"/>
          <w:lang w:val="es-ES_tradnl"/>
        </w:rPr>
        <w:t xml:space="preserve"> </w:t>
      </w:r>
      <w:r w:rsidRPr="003565EB">
        <w:rPr>
          <w:rFonts w:ascii="Palatino Linotype" w:eastAsiaTheme="minorEastAsia" w:hAnsi="Palatino Linotype" w:cs="Arial"/>
          <w:i/>
          <w:sz w:val="22"/>
          <w:szCs w:val="22"/>
          <w:lang w:val="es-ES_tradnl"/>
        </w:rPr>
        <w:t>...”</w:t>
      </w:r>
    </w:p>
    <w:p w:rsidR="006A61F1" w:rsidRPr="003565EB" w:rsidRDefault="006A61F1" w:rsidP="006A61F1">
      <w:pPr>
        <w:spacing w:before="100" w:beforeAutospacing="1" w:after="100" w:afterAutospacing="1" w:line="360" w:lineRule="auto"/>
        <w:jc w:val="both"/>
        <w:rPr>
          <w:rFonts w:ascii="Palatino Linotype" w:eastAsiaTheme="minorEastAsia" w:hAnsi="Palatino Linotype" w:cs="Arial"/>
          <w:i/>
          <w:lang w:val="es-ES_tradnl"/>
        </w:rPr>
      </w:pPr>
      <w:r w:rsidRPr="003565EB">
        <w:rPr>
          <w:rFonts w:ascii="Palatino Linotype" w:eastAsiaTheme="minorEastAsia"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r w:rsidRPr="003565EB">
        <w:rPr>
          <w:rFonts w:ascii="Palatino Linotype" w:eastAsiaTheme="minorEastAsia" w:hAnsi="Palatino Linotype" w:cs="Arial"/>
          <w:i/>
          <w:lang w:val="es-ES_tradnl"/>
        </w:rPr>
        <w:t xml:space="preserve"> </w:t>
      </w:r>
      <w:r w:rsidRPr="003565EB">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6A61F1" w:rsidRPr="003565EB" w:rsidRDefault="006A61F1" w:rsidP="006A61F1">
      <w:pPr>
        <w:ind w:left="851" w:right="901"/>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i/>
          <w:sz w:val="22"/>
          <w:szCs w:val="22"/>
          <w:lang w:val="es-ES_tradnl"/>
        </w:rPr>
        <w:t>“</w:t>
      </w:r>
      <w:r w:rsidRPr="003565EB">
        <w:rPr>
          <w:rFonts w:ascii="Palatino Linotype" w:eastAsiaTheme="minorEastAsia" w:hAnsi="Palatino Linotype" w:cs="Arial"/>
          <w:b/>
          <w:i/>
          <w:color w:val="000000"/>
          <w:sz w:val="22"/>
          <w:szCs w:val="22"/>
          <w:lang w:val="es-ES_tradnl"/>
        </w:rPr>
        <w:t>Artículo 12.</w:t>
      </w:r>
      <w:r w:rsidRPr="003565EB">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6A61F1" w:rsidRPr="003565EB" w:rsidRDefault="006A61F1" w:rsidP="006A61F1">
      <w:pPr>
        <w:ind w:left="851" w:right="901"/>
        <w:jc w:val="both"/>
        <w:rPr>
          <w:rFonts w:ascii="Palatino Linotype" w:eastAsiaTheme="minorEastAsia" w:hAnsi="Palatino Linotype" w:cs="Arial"/>
          <w:i/>
          <w:color w:val="000000"/>
          <w:sz w:val="22"/>
          <w:szCs w:val="22"/>
          <w:lang w:val="es-ES_tradnl"/>
        </w:rPr>
      </w:pPr>
      <w:r w:rsidRPr="003565EB">
        <w:rPr>
          <w:rFonts w:ascii="Palatino Linotype" w:eastAsiaTheme="minorEastAsia" w:hAnsi="Palatino Linotype" w:cs="Arial"/>
          <w:i/>
          <w:color w:val="000000"/>
          <w:sz w:val="22"/>
          <w:szCs w:val="22"/>
          <w:lang w:val="es-ES_tradnl"/>
        </w:rPr>
        <w:t xml:space="preserve"> </w:t>
      </w:r>
    </w:p>
    <w:p w:rsidR="006A61F1" w:rsidRPr="003565EB" w:rsidRDefault="006A61F1" w:rsidP="006A61F1">
      <w:pPr>
        <w:ind w:left="851" w:right="901"/>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i/>
          <w:color w:val="000000"/>
          <w:sz w:val="22"/>
          <w:szCs w:val="22"/>
          <w:lang w:val="es-ES_tradnl"/>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565EB">
        <w:rPr>
          <w:rFonts w:ascii="Palatino Linotype" w:eastAsiaTheme="minorEastAsia" w:hAnsi="Palatino Linotype" w:cs="Arial"/>
          <w:i/>
          <w:sz w:val="22"/>
          <w:szCs w:val="22"/>
          <w:lang w:val="es-ES_tradnl"/>
        </w:rPr>
        <w:t>”</w:t>
      </w:r>
    </w:p>
    <w:p w:rsidR="006A61F1" w:rsidRPr="003565EB" w:rsidRDefault="006A61F1" w:rsidP="006A61F1">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3565EB">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3565EB">
        <w:rPr>
          <w:rFonts w:ascii="Palatino Linotype" w:eastAsiaTheme="minorEastAsia" w:hAnsi="Palatino Linotype" w:cs="Arial"/>
          <w:lang w:val="es-ES_tradnl"/>
        </w:rPr>
        <w:t>generen</w:t>
      </w:r>
      <w:r w:rsidRPr="003565EB">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6A61F1" w:rsidRPr="003565EB" w:rsidRDefault="006A61F1" w:rsidP="006A61F1">
      <w:pPr>
        <w:spacing w:before="100" w:beforeAutospacing="1" w:after="100" w:afterAutospacing="1" w:line="360" w:lineRule="auto"/>
        <w:ind w:right="49"/>
        <w:jc w:val="both"/>
        <w:rPr>
          <w:rFonts w:ascii="Palatino Linotype" w:hAnsi="Palatino Linotype"/>
          <w:i/>
        </w:rPr>
      </w:pPr>
      <w:r w:rsidRPr="003565EB">
        <w:rPr>
          <w:rFonts w:ascii="Palatino Linotype" w:hAnsi="Palatino Linotype" w:cs="Arial"/>
        </w:rPr>
        <w:t xml:space="preserve">Por ello, es necesario resaltar que </w:t>
      </w:r>
      <w:r w:rsidR="00B03CC1" w:rsidRPr="003565EB">
        <w:rPr>
          <w:rFonts w:ascii="Palatino Linotype" w:hAnsi="Palatino Linotype" w:cs="Arial"/>
        </w:rPr>
        <w:t xml:space="preserve">la respuesta del </w:t>
      </w:r>
      <w:r w:rsidR="00B03CC1" w:rsidRPr="003565EB">
        <w:rPr>
          <w:rFonts w:ascii="Palatino Linotype" w:hAnsi="Palatino Linotype" w:cs="Arial"/>
          <w:b/>
        </w:rPr>
        <w:t xml:space="preserve">SUJETO OBLIGADO </w:t>
      </w:r>
      <w:r w:rsidR="00B03CC1" w:rsidRPr="003565EB">
        <w:rPr>
          <w:rFonts w:ascii="Palatino Linotype" w:hAnsi="Palatino Linotype" w:cs="Arial"/>
        </w:rPr>
        <w:t xml:space="preserve">carece de una debida fundamentación y motivación, en razón de que a la información solicitada le reviste el carácter de pública y es susceptible de ser entregada en versión pública; por lo que, conviene resaltar que </w:t>
      </w:r>
      <w:r w:rsidRPr="003565EB">
        <w:rPr>
          <w:rFonts w:ascii="Palatino Linotype" w:hAnsi="Palatino Linotype" w:cs="Arial"/>
        </w:rPr>
        <w:t>dichos conceptos consiste</w:t>
      </w:r>
      <w:r w:rsidR="00B03CC1" w:rsidRPr="003565EB">
        <w:rPr>
          <w:rFonts w:ascii="Palatino Linotype" w:hAnsi="Palatino Linotype" w:cs="Arial"/>
        </w:rPr>
        <w:t>n</w:t>
      </w:r>
      <w:r w:rsidRPr="003565EB">
        <w:rPr>
          <w:rFonts w:ascii="Palatino Linotype" w:hAnsi="Palatino Linotype" w:cs="Arial"/>
        </w:rPr>
        <w:t xml:space="preserve"> en la obligación que tiene todo ente público de expresar los preceptos jurídicos aplicables al asunto motivo del acto y las razones o argumentos de su actuar; al respecto, el máximo tribunal del país ha establecido jurisprudencia a fin a que debe entenderse por fundamentación y motivación, en los siguientes términos:</w:t>
      </w:r>
    </w:p>
    <w:p w:rsidR="006A61F1" w:rsidRPr="003565EB" w:rsidRDefault="006A61F1" w:rsidP="006A61F1">
      <w:pPr>
        <w:pStyle w:val="Textoindependiente2"/>
        <w:spacing w:after="0" w:line="240" w:lineRule="auto"/>
        <w:ind w:left="851" w:right="902"/>
        <w:jc w:val="both"/>
        <w:rPr>
          <w:rFonts w:ascii="Palatino Linotype" w:hAnsi="Palatino Linotype" w:cs="Arial"/>
          <w:i/>
          <w:sz w:val="22"/>
          <w:szCs w:val="22"/>
        </w:rPr>
      </w:pPr>
      <w:r w:rsidRPr="003565EB">
        <w:rPr>
          <w:rFonts w:ascii="Palatino Linotype" w:hAnsi="Palatino Linotype" w:cs="Arial"/>
          <w:i/>
          <w:sz w:val="22"/>
          <w:szCs w:val="22"/>
        </w:rPr>
        <w:t>“</w:t>
      </w:r>
      <w:r w:rsidRPr="003565EB">
        <w:rPr>
          <w:rFonts w:ascii="Palatino Linotype" w:hAnsi="Palatino Linotype" w:cs="Arial"/>
          <w:b/>
          <w:i/>
          <w:sz w:val="22"/>
          <w:szCs w:val="22"/>
        </w:rPr>
        <w:t xml:space="preserve">FUNDAMENTACION Y MOTIVACION. </w:t>
      </w:r>
      <w:r w:rsidRPr="003565EB">
        <w:rPr>
          <w:rFonts w:ascii="Palatino Linotype" w:hAnsi="Palatino Linotype" w:cs="Arial"/>
          <w:i/>
          <w:sz w:val="22"/>
          <w:szCs w:val="22"/>
        </w:rPr>
        <w:t xml:space="preserve">La debida fundamentación y motivación legal, deben entenderse, por lo primero, </w:t>
      </w:r>
      <w:r w:rsidRPr="003565EB">
        <w:rPr>
          <w:rFonts w:ascii="Palatino Linotype" w:hAnsi="Palatino Linotype" w:cs="Arial"/>
          <w:b/>
          <w:i/>
          <w:sz w:val="22"/>
          <w:szCs w:val="22"/>
        </w:rPr>
        <w:t>la cita del precepto legal aplicable al caso</w:t>
      </w:r>
      <w:r w:rsidRPr="003565EB">
        <w:rPr>
          <w:rFonts w:ascii="Palatino Linotype" w:hAnsi="Palatino Linotype" w:cs="Arial"/>
          <w:i/>
          <w:sz w:val="22"/>
          <w:szCs w:val="22"/>
        </w:rPr>
        <w:t xml:space="preserve">, y por lo segundo, </w:t>
      </w:r>
      <w:r w:rsidRPr="003565EB">
        <w:rPr>
          <w:rFonts w:ascii="Palatino Linotype" w:hAnsi="Palatino Linotype" w:cs="Arial"/>
          <w:b/>
          <w:i/>
          <w:sz w:val="22"/>
          <w:szCs w:val="22"/>
        </w:rPr>
        <w:t>las razones, motivos o circunstancias especiales que llevaron a la autoridad a concluir que el caso particular encuadra en el supuesto previsto por la norma legal invocada</w:t>
      </w:r>
      <w:r w:rsidRPr="003565EB">
        <w:rPr>
          <w:rFonts w:ascii="Palatino Linotype" w:hAnsi="Palatino Linotype" w:cs="Arial"/>
          <w:i/>
          <w:sz w:val="22"/>
          <w:szCs w:val="22"/>
        </w:rPr>
        <w:t xml:space="preserve"> como fundamento.</w:t>
      </w:r>
    </w:p>
    <w:p w:rsidR="006A61F1" w:rsidRPr="003565EB" w:rsidRDefault="006A61F1" w:rsidP="006A61F1">
      <w:pPr>
        <w:pStyle w:val="Textoindependiente2"/>
        <w:spacing w:after="0" w:line="240" w:lineRule="auto"/>
        <w:ind w:left="851" w:right="902"/>
        <w:jc w:val="both"/>
        <w:rPr>
          <w:rFonts w:ascii="Palatino Linotype" w:hAnsi="Palatino Linotype" w:cs="Arial"/>
          <w:b/>
          <w:i/>
          <w:sz w:val="22"/>
          <w:szCs w:val="22"/>
        </w:rPr>
      </w:pPr>
      <w:r w:rsidRPr="003565EB">
        <w:rPr>
          <w:rFonts w:ascii="Palatino Linotype" w:hAnsi="Palatino Linotype" w:cs="Arial"/>
          <w:b/>
          <w:i/>
          <w:sz w:val="22"/>
          <w:szCs w:val="22"/>
        </w:rPr>
        <w:t>…”</w:t>
      </w:r>
    </w:p>
    <w:p w:rsidR="006A61F1" w:rsidRPr="003565EB" w:rsidRDefault="006A61F1" w:rsidP="006A61F1">
      <w:pPr>
        <w:pStyle w:val="Textoindependiente2"/>
        <w:spacing w:after="0" w:line="240" w:lineRule="auto"/>
        <w:ind w:left="851" w:right="902"/>
        <w:jc w:val="both"/>
        <w:rPr>
          <w:rFonts w:ascii="Palatino Linotype" w:hAnsi="Palatino Linotype" w:cs="Arial"/>
          <w:i/>
          <w:sz w:val="22"/>
          <w:szCs w:val="22"/>
        </w:rPr>
      </w:pPr>
      <w:r w:rsidRPr="003565EB">
        <w:rPr>
          <w:rFonts w:ascii="Palatino Linotype" w:hAnsi="Palatino Linotype" w:cs="Arial"/>
          <w:i/>
          <w:sz w:val="22"/>
          <w:szCs w:val="22"/>
        </w:rPr>
        <w:t>(Énfasis añadido)</w:t>
      </w:r>
    </w:p>
    <w:p w:rsidR="006A61F1" w:rsidRPr="003565EB" w:rsidRDefault="006A61F1" w:rsidP="006A61F1">
      <w:pPr>
        <w:spacing w:before="240" w:after="240" w:line="360" w:lineRule="auto"/>
        <w:ind w:right="51"/>
        <w:jc w:val="both"/>
        <w:rPr>
          <w:rFonts w:ascii="Palatino Linotype" w:hAnsi="Palatino Linotype" w:cs="Arial"/>
        </w:rPr>
      </w:pPr>
      <w:r w:rsidRPr="003565EB">
        <w:rPr>
          <w:rFonts w:ascii="Palatino Linotype" w:hAnsi="Palatino Linotype" w:cs="Arial"/>
        </w:rPr>
        <w:t xml:space="preserve">Así, un acto de autoridad se surte la debida fundamentación cuando se cita el precepto legal aplicable al caso concreto y la debida motivación cuando se expresan las razones, </w:t>
      </w:r>
      <w:r w:rsidRPr="003565EB">
        <w:rPr>
          <w:rFonts w:ascii="Palatino Linotype" w:hAnsi="Palatino Linotype" w:cs="Arial"/>
        </w:rPr>
        <w:lastRenderedPageBreak/>
        <w:t>motivos o circunstancias que tomó en cuenta la autoridad para adecuar el hecho a los fundamentos de derecho; lo anterior, se robustece con diversa jurisprudencia dictada por el Poder Judicial de la Federación que, sostiene que la finalidad de la fundamentación o motivación es la de explicar, justificar, posibilitar la defensa y comunicar la decisión de la autoridad:</w:t>
      </w:r>
    </w:p>
    <w:p w:rsidR="006A61F1" w:rsidRPr="003565EB" w:rsidRDefault="006A61F1" w:rsidP="006A61F1">
      <w:pPr>
        <w:pStyle w:val="Textoindependiente2"/>
        <w:spacing w:after="0" w:line="240" w:lineRule="auto"/>
        <w:ind w:left="851" w:right="902"/>
        <w:jc w:val="both"/>
      </w:pPr>
      <w:r w:rsidRPr="003565EB">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3565EB">
        <w:rPr>
          <w:rFonts w:ascii="Palatino Linotype" w:hAnsi="Palatino Linotype" w:cs="Arial"/>
          <w:i/>
          <w:sz w:val="22"/>
          <w:szCs w:val="22"/>
        </w:rPr>
        <w:t xml:space="preserve">. El contenido formal de la garantía de legalidad prevista en el artículo 16 constitucional relativa a la fundamentación y motivación tiene como propósito primordial y ratio que el justiciable conozca </w:t>
      </w:r>
      <w:r w:rsidRPr="003565EB">
        <w:rPr>
          <w:rFonts w:ascii="Palatino Linotype" w:hAnsi="Palatino Linotype" w:cs="Arial"/>
          <w:b/>
          <w:i/>
          <w:sz w:val="22"/>
          <w:szCs w:val="22"/>
        </w:rPr>
        <w:t>el "para qué" de la conducta de la autoridad,</w:t>
      </w:r>
      <w:r w:rsidRPr="003565EB">
        <w:rPr>
          <w:rFonts w:ascii="Palatino Linotype" w:hAnsi="Palatino Linotype" w:cs="Arial"/>
          <w:i/>
          <w:sz w:val="22"/>
          <w:szCs w:val="22"/>
        </w:rPr>
        <w:t xml:space="preserve"> lo que se traduce en darle a </w:t>
      </w:r>
      <w:r w:rsidRPr="003565EB">
        <w:rPr>
          <w:rFonts w:ascii="Palatino Linotype" w:hAnsi="Palatino Linotype" w:cs="Arial"/>
          <w:b/>
          <w:i/>
          <w:sz w:val="22"/>
          <w:szCs w:val="22"/>
        </w:rPr>
        <w:t>conocer en detalle y de manera completa la esencia de todas las circunstancias y condiciones que determinaron el acto de voluntad</w:t>
      </w:r>
      <w:r w:rsidRPr="003565EB">
        <w:rPr>
          <w:rFonts w:ascii="Palatino Linotype" w:hAnsi="Palatino Linotype" w:cs="Arial"/>
          <w:i/>
          <w:sz w:val="22"/>
          <w:szCs w:val="22"/>
        </w:rPr>
        <w:t xml:space="preserve">, de manera que sea evidente y muy claro para el afectado poder cuestionar y controvertir el mérito de la decisión, permitiéndole una real y auténtica defensa. Por tanto, </w:t>
      </w:r>
      <w:r w:rsidRPr="003565EB">
        <w:rPr>
          <w:rFonts w:ascii="Palatino Linotype" w:hAnsi="Palatino Linotype" w:cs="Arial"/>
          <w:b/>
          <w:i/>
          <w:sz w:val="22"/>
          <w:szCs w:val="22"/>
        </w:rPr>
        <w:t>no basta que el acto de autoridad apenas observe una motivación pro forma pero de una manera incongruente, insuficiente o imprecisa, que impida la finalidad del conocimiento, comprobación y defensa pertinente</w:t>
      </w:r>
      <w:r w:rsidRPr="003565EB">
        <w:rPr>
          <w:rFonts w:ascii="Palatino Linotype" w:hAnsi="Palatino Linotype" w:cs="Arial"/>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6A61F1" w:rsidRPr="003565EB" w:rsidRDefault="006A61F1" w:rsidP="006A61F1">
      <w:pPr>
        <w:pStyle w:val="Textoindependiente2"/>
        <w:spacing w:after="0" w:line="240" w:lineRule="auto"/>
        <w:ind w:left="851" w:right="902"/>
        <w:jc w:val="both"/>
        <w:rPr>
          <w:rFonts w:ascii="Palatino Linotype" w:hAnsi="Palatino Linotype" w:cs="Arial"/>
          <w:i/>
          <w:sz w:val="22"/>
          <w:szCs w:val="22"/>
        </w:rPr>
      </w:pPr>
      <w:r w:rsidRPr="003565EB">
        <w:rPr>
          <w:rFonts w:ascii="Palatino Linotype" w:hAnsi="Palatino Linotype" w:cs="Arial"/>
          <w:i/>
          <w:sz w:val="22"/>
          <w:szCs w:val="22"/>
        </w:rPr>
        <w:t>(Énfasis añadido)</w:t>
      </w:r>
    </w:p>
    <w:p w:rsidR="006A61F1" w:rsidRPr="003565EB" w:rsidRDefault="006A61F1" w:rsidP="006A61F1">
      <w:pPr>
        <w:spacing w:before="240" w:after="240" w:line="360" w:lineRule="auto"/>
        <w:ind w:right="49"/>
        <w:jc w:val="both"/>
        <w:rPr>
          <w:rFonts w:ascii="Palatino Linotype" w:hAnsi="Palatino Linotype" w:cs="Arial"/>
        </w:rPr>
      </w:pPr>
      <w:r w:rsidRPr="003565EB">
        <w:rPr>
          <w:rFonts w:ascii="Palatino Linotype" w:hAnsi="Palatino Linotype" w:cs="Arial"/>
        </w:rPr>
        <w:t>En consecuencia, la fundamentación y motivación implica que en el acto de autoridad, además de contener los supuestos jurídicos aplicables explique claramente, por qué, a través de la utilización de la norma se emitió el acto. De este modo, la persona que se siente afectada puede impugnar la decisión, permitiéndole una real y auténtica defensa.</w:t>
      </w:r>
    </w:p>
    <w:p w:rsidR="00164353" w:rsidRPr="003565EB" w:rsidRDefault="006A61F1" w:rsidP="00164353">
      <w:pPr>
        <w:spacing w:before="240" w:after="240" w:line="360" w:lineRule="auto"/>
        <w:ind w:right="49"/>
        <w:jc w:val="both"/>
        <w:rPr>
          <w:rFonts w:ascii="Palatino Linotype" w:hAnsi="Palatino Linotype" w:cs="Arial"/>
          <w:color w:val="000000" w:themeColor="text1"/>
        </w:rPr>
      </w:pPr>
      <w:r w:rsidRPr="003565EB">
        <w:rPr>
          <w:rFonts w:ascii="Palatino Linotype" w:hAnsi="Palatino Linotype" w:cs="Arial"/>
          <w:color w:val="000000" w:themeColor="text1"/>
        </w:rPr>
        <w:lastRenderedPageBreak/>
        <w:t xml:space="preserve">Expuesto lo anterior, pese a que </w:t>
      </w:r>
      <w:r w:rsidRPr="003565EB">
        <w:rPr>
          <w:rFonts w:ascii="Palatino Linotype" w:hAnsi="Palatino Linotype" w:cs="Arial"/>
          <w:b/>
          <w:color w:val="000000" w:themeColor="text1"/>
        </w:rPr>
        <w:t xml:space="preserve">EL SUJETO OBLIGADO </w:t>
      </w:r>
      <w:r w:rsidRPr="003565EB">
        <w:rPr>
          <w:rFonts w:ascii="Palatino Linotype" w:hAnsi="Palatino Linotype" w:cs="Arial"/>
          <w:color w:val="000000" w:themeColor="text1"/>
        </w:rPr>
        <w:t xml:space="preserve">refiere que la información solicitada, </w:t>
      </w:r>
      <w:r w:rsidR="00311FE5" w:rsidRPr="003565EB">
        <w:rPr>
          <w:rFonts w:ascii="Palatino Linotype" w:hAnsi="Palatino Linotype" w:cs="Arial"/>
          <w:color w:val="000000" w:themeColor="text1"/>
        </w:rPr>
        <w:t xml:space="preserve">no puede ser entregada por contener datos personales de los servidores públicos entrantes y salientes, </w:t>
      </w:r>
      <w:r w:rsidRPr="003565EB">
        <w:rPr>
          <w:rFonts w:ascii="Palatino Linotype" w:hAnsi="Palatino Linotype" w:cs="Arial"/>
          <w:color w:val="000000" w:themeColor="text1"/>
        </w:rPr>
        <w:t>éste Órgano Garante</w:t>
      </w:r>
      <w:r w:rsidR="00164353" w:rsidRPr="003565EB">
        <w:rPr>
          <w:rFonts w:ascii="Palatino Linotype" w:hAnsi="Palatino Linotype" w:cs="Arial"/>
          <w:color w:val="000000" w:themeColor="text1"/>
        </w:rPr>
        <w:t xml:space="preserve"> considera necesario traer a contexto lo establecido en </w:t>
      </w:r>
      <w:r w:rsidR="00164353" w:rsidRPr="003565EB">
        <w:rPr>
          <w:rFonts w:ascii="Palatino Linotype" w:hAnsi="Palatino Linotype" w:cs="Arial"/>
        </w:rPr>
        <w:t>la Constitución Política del Estado Libre y Soberano de México, en su numeral 5, párrafo vigésimo segundo, fracción I dispone:</w:t>
      </w:r>
    </w:p>
    <w:p w:rsidR="00164353" w:rsidRPr="003565EB" w:rsidRDefault="00164353" w:rsidP="00164353">
      <w:pPr>
        <w:pStyle w:val="Textoindependiente2"/>
        <w:spacing w:before="120" w:line="240" w:lineRule="auto"/>
        <w:ind w:left="851" w:right="900"/>
        <w:contextualSpacing/>
        <w:jc w:val="both"/>
        <w:rPr>
          <w:rFonts w:ascii="Palatino Linotype" w:hAnsi="Palatino Linotype" w:cs="Arial"/>
          <w:b/>
          <w:i/>
          <w:sz w:val="22"/>
          <w:szCs w:val="22"/>
        </w:rPr>
      </w:pPr>
      <w:r w:rsidRPr="003565EB">
        <w:rPr>
          <w:rFonts w:ascii="Palatino Linotype" w:hAnsi="Palatino Linotype" w:cs="Arial"/>
          <w:i/>
          <w:sz w:val="22"/>
          <w:szCs w:val="22"/>
        </w:rPr>
        <w:t>“</w:t>
      </w:r>
      <w:r w:rsidRPr="003565EB">
        <w:rPr>
          <w:rFonts w:ascii="Palatino Linotype" w:hAnsi="Palatino Linotype" w:cs="Arial"/>
          <w:b/>
          <w:i/>
          <w:sz w:val="22"/>
          <w:szCs w:val="22"/>
        </w:rPr>
        <w:t>Artículo 5.-...</w:t>
      </w:r>
    </w:p>
    <w:p w:rsidR="00164353" w:rsidRPr="003565EB" w:rsidRDefault="00164353" w:rsidP="00164353">
      <w:pPr>
        <w:pStyle w:val="Textoindependiente2"/>
        <w:spacing w:before="120" w:line="240" w:lineRule="auto"/>
        <w:ind w:left="851" w:right="900"/>
        <w:contextualSpacing/>
        <w:jc w:val="both"/>
        <w:rPr>
          <w:rFonts w:ascii="Palatino Linotype" w:hAnsi="Palatino Linotype" w:cs="Arial"/>
          <w:i/>
          <w:sz w:val="22"/>
          <w:szCs w:val="22"/>
        </w:rPr>
      </w:pPr>
      <w:r w:rsidRPr="003565EB">
        <w:rPr>
          <w:rFonts w:ascii="Palatino Linotype" w:hAnsi="Palatino Linotype" w:cs="Arial"/>
          <w:i/>
          <w:sz w:val="22"/>
          <w:szCs w:val="22"/>
        </w:rPr>
        <w:t>...</w:t>
      </w:r>
    </w:p>
    <w:p w:rsidR="00164353" w:rsidRPr="003565EB" w:rsidRDefault="00164353" w:rsidP="00164353">
      <w:pPr>
        <w:pStyle w:val="Textoindependiente2"/>
        <w:spacing w:before="120" w:line="240" w:lineRule="auto"/>
        <w:ind w:left="851" w:right="900"/>
        <w:contextualSpacing/>
        <w:jc w:val="both"/>
        <w:rPr>
          <w:rFonts w:ascii="Palatino Linotype" w:hAnsi="Palatino Linotype" w:cs="Arial"/>
          <w:b/>
          <w:i/>
          <w:sz w:val="22"/>
          <w:szCs w:val="22"/>
        </w:rPr>
      </w:pPr>
      <w:r w:rsidRPr="003565EB">
        <w:rPr>
          <w:rFonts w:ascii="Palatino Linotype" w:hAnsi="Palatino Linotype" w:cs="Arial"/>
          <w:b/>
          <w:i/>
          <w:sz w:val="22"/>
          <w:szCs w:val="22"/>
        </w:rPr>
        <w:t>Este derecho se regirá por los siguientes principios y bases siguientes:</w:t>
      </w:r>
    </w:p>
    <w:p w:rsidR="00164353" w:rsidRPr="003565EB" w:rsidRDefault="00164353" w:rsidP="00164353">
      <w:pPr>
        <w:pStyle w:val="Textoindependiente2"/>
        <w:spacing w:before="120" w:line="240" w:lineRule="auto"/>
        <w:ind w:left="851" w:right="900"/>
        <w:contextualSpacing/>
        <w:jc w:val="both"/>
        <w:rPr>
          <w:rFonts w:ascii="Palatino Linotype" w:hAnsi="Palatino Linotype" w:cs="Arial"/>
          <w:i/>
          <w:sz w:val="22"/>
          <w:szCs w:val="22"/>
        </w:rPr>
      </w:pPr>
    </w:p>
    <w:p w:rsidR="00164353" w:rsidRPr="003565EB" w:rsidRDefault="00164353" w:rsidP="00164353">
      <w:pPr>
        <w:pStyle w:val="Textoindependiente2"/>
        <w:spacing w:before="120" w:line="240" w:lineRule="auto"/>
        <w:ind w:left="851" w:right="900"/>
        <w:contextualSpacing/>
        <w:jc w:val="both"/>
        <w:rPr>
          <w:rFonts w:ascii="Palatino Linotype" w:hAnsi="Palatino Linotype" w:cs="Arial"/>
          <w:i/>
          <w:sz w:val="22"/>
          <w:szCs w:val="22"/>
        </w:rPr>
      </w:pPr>
      <w:r w:rsidRPr="003565EB">
        <w:rPr>
          <w:rFonts w:ascii="Palatino Linotype" w:hAnsi="Palatino Linotype" w:cs="Arial"/>
          <w:i/>
          <w:sz w:val="22"/>
          <w:szCs w:val="22"/>
        </w:rPr>
        <w:t xml:space="preserve">I. </w:t>
      </w:r>
      <w:r w:rsidRPr="003565EB">
        <w:rPr>
          <w:rFonts w:ascii="Palatino Linotype" w:hAnsi="Palatino Linotype"/>
          <w:b/>
          <w:i/>
          <w:sz w:val="22"/>
          <w:szCs w:val="22"/>
        </w:rPr>
        <w:t>Toda la información en posesión de cualquier autoridad, entidad, órgano y organismos de los Poderes Ejecutivo, Legislativo y Judicial, órganos autónomos</w:t>
      </w:r>
      <w:r w:rsidRPr="003565EB">
        <w:rPr>
          <w:rFonts w:ascii="Palatino Linotype" w:hAnsi="Palatino Linotype"/>
          <w:i/>
          <w:sz w:val="22"/>
          <w:szCs w:val="22"/>
        </w:rPr>
        <w:t xml:space="preserve">,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w:t>
      </w:r>
      <w:r w:rsidRPr="003565EB">
        <w:rPr>
          <w:rFonts w:ascii="Palatino Linotype" w:hAnsi="Palatino Linotype"/>
          <w:b/>
          <w:i/>
          <w:sz w:val="22"/>
          <w:szCs w:val="22"/>
        </w:rPr>
        <w:t>En la interpretación de este derecho deberá prevalecer el principio de máxima publicidad.</w:t>
      </w:r>
      <w:r w:rsidRPr="003565EB">
        <w:rPr>
          <w:rFonts w:ascii="Palatino Linotype" w:hAnsi="Palatino Linotype"/>
          <w:i/>
          <w:sz w:val="22"/>
          <w:szCs w:val="22"/>
        </w:rPr>
        <w:t xml:space="preserve"> Los sujetos obligados deberán documentar todo acto que derive del ejercicio de sus facultades, competencias o funciones, la ley determinará los supuestos específicos bajo los cuales procederá la declaración de inexistencia de la información</w:t>
      </w:r>
      <w:r w:rsidRPr="003565EB">
        <w:rPr>
          <w:rFonts w:ascii="Palatino Linotype" w:hAnsi="Palatino Linotype" w:cs="Arial"/>
          <w:i/>
          <w:sz w:val="22"/>
          <w:szCs w:val="22"/>
        </w:rPr>
        <w:t>;</w:t>
      </w:r>
    </w:p>
    <w:p w:rsidR="00164353" w:rsidRPr="003565EB" w:rsidRDefault="00164353" w:rsidP="00164353">
      <w:pPr>
        <w:pStyle w:val="Prrafodelista"/>
        <w:spacing w:before="120" w:after="120" w:line="276" w:lineRule="auto"/>
        <w:ind w:left="851" w:right="900"/>
        <w:jc w:val="both"/>
        <w:rPr>
          <w:rFonts w:ascii="Palatino Linotype" w:hAnsi="Palatino Linotype" w:cs="Arial"/>
          <w:i/>
          <w:sz w:val="22"/>
          <w:szCs w:val="22"/>
        </w:rPr>
      </w:pPr>
      <w:r w:rsidRPr="003565EB">
        <w:rPr>
          <w:rFonts w:ascii="Palatino Linotype" w:hAnsi="Palatino Linotype" w:cs="Arial"/>
          <w:i/>
          <w:sz w:val="22"/>
          <w:szCs w:val="22"/>
        </w:rPr>
        <w:t>...” (Énfasis añadido)</w:t>
      </w:r>
    </w:p>
    <w:p w:rsidR="00164353" w:rsidRPr="003565EB" w:rsidRDefault="00164353" w:rsidP="00164353">
      <w:pPr>
        <w:spacing w:after="120" w:line="360" w:lineRule="auto"/>
        <w:ind w:right="51"/>
        <w:jc w:val="both"/>
        <w:rPr>
          <w:rFonts w:ascii="Palatino Linotype" w:hAnsi="Palatino Linotype" w:cs="Arial"/>
        </w:rPr>
      </w:pPr>
      <w:r w:rsidRPr="003565EB">
        <w:rPr>
          <w:rFonts w:ascii="Palatino Linotype" w:hAnsi="Palatino Linotype" w:cs="Arial"/>
        </w:rPr>
        <w:t xml:space="preserve">De ahí que, se deduce entonces que la Constitución local le otorga a todos los documentos en posesión de las autoridades la calidad de públicos y únicamente pueden ser </w:t>
      </w:r>
      <w:r w:rsidR="00311FE5" w:rsidRPr="003565EB">
        <w:rPr>
          <w:rFonts w:ascii="Palatino Linotype" w:hAnsi="Palatino Linotype" w:cs="Arial"/>
        </w:rPr>
        <w:t xml:space="preserve">considerados como clasificados o reservados </w:t>
      </w:r>
      <w:r w:rsidRPr="003565EB">
        <w:rPr>
          <w:rFonts w:ascii="Palatino Linotype" w:hAnsi="Palatino Linotype" w:cs="Arial"/>
        </w:rPr>
        <w:t xml:space="preserve">en los términos expresamente señalados en la Ley, es decir, el derecho de acceso a la información pública no es absoluto pero su restricción debe estar sujeta a un sistema rígido de excepciones, en el que </w:t>
      </w:r>
      <w:r w:rsidRPr="003565EB">
        <w:rPr>
          <w:rFonts w:ascii="Palatino Linotype" w:hAnsi="Palatino Linotype" w:cs="Arial"/>
          <w:b/>
        </w:rPr>
        <w:t>los Sujetos Obligados deben fundamentar y argumentar las causas de interés público que se ponen en riesgo</w:t>
      </w:r>
      <w:r w:rsidRPr="003565EB">
        <w:rPr>
          <w:rFonts w:ascii="Palatino Linotype" w:hAnsi="Palatino Linotype" w:cs="Arial"/>
        </w:rPr>
        <w:t xml:space="preserve"> al liberarse la información.</w:t>
      </w:r>
    </w:p>
    <w:p w:rsidR="00311FE5" w:rsidRPr="003565EB" w:rsidRDefault="00311FE5" w:rsidP="00311FE5">
      <w:pPr>
        <w:spacing w:before="100" w:beforeAutospacing="1" w:after="100" w:afterAutospacing="1" w:line="360" w:lineRule="auto"/>
        <w:ind w:right="51"/>
        <w:jc w:val="both"/>
        <w:rPr>
          <w:rFonts w:ascii="Palatino Linotype" w:hAnsi="Palatino Linotype" w:cs="Arial"/>
        </w:rPr>
      </w:pPr>
      <w:r w:rsidRPr="003565EB">
        <w:rPr>
          <w:rFonts w:ascii="Palatino Linotype" w:hAnsi="Palatino Linotype" w:cs="Arial"/>
        </w:rPr>
        <w:lastRenderedPageBreak/>
        <w:t xml:space="preserve">Así, 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w:t>
      </w:r>
      <w:r w:rsidRPr="003565EB">
        <w:rPr>
          <w:rFonts w:ascii="Palatino Linotype" w:hAnsi="Palatino Linotype" w:cs="Arial"/>
          <w:b/>
        </w:rPr>
        <w:t>un catálogo limitado de premisas para que la información sea considerada como confidencial</w:t>
      </w:r>
      <w:r w:rsidRPr="003565EB">
        <w:rPr>
          <w:rFonts w:ascii="Palatino Linotype" w:hAnsi="Palatino Linotype" w:cs="Arial"/>
        </w:rPr>
        <w:t>; tal y como, lo precisan los siguientes dispositivos jurídicos:</w:t>
      </w:r>
    </w:p>
    <w:p w:rsidR="00311FE5" w:rsidRPr="003565EB" w:rsidRDefault="00311FE5" w:rsidP="00311FE5">
      <w:pPr>
        <w:pStyle w:val="Textoindependiente2"/>
        <w:spacing w:after="0" w:line="240" w:lineRule="auto"/>
        <w:ind w:left="851" w:right="900"/>
        <w:jc w:val="both"/>
        <w:rPr>
          <w:rFonts w:ascii="Palatino Linotype" w:hAnsi="Palatino Linotype" w:cs="Arial"/>
          <w:b/>
          <w:i/>
          <w:sz w:val="22"/>
          <w:szCs w:val="22"/>
        </w:rPr>
      </w:pPr>
      <w:r w:rsidRPr="003565EB">
        <w:rPr>
          <w:rFonts w:ascii="Palatino Linotype" w:hAnsi="Palatino Linotype" w:cs="Arial"/>
          <w:i/>
          <w:sz w:val="22"/>
          <w:szCs w:val="22"/>
        </w:rPr>
        <w:t>“</w:t>
      </w:r>
      <w:r w:rsidRPr="003565EB">
        <w:rPr>
          <w:rFonts w:ascii="Palatino Linotype" w:hAnsi="Palatino Linotype" w:cs="Arial"/>
          <w:b/>
          <w:i/>
          <w:sz w:val="22"/>
          <w:szCs w:val="22"/>
        </w:rPr>
        <w:t>Artículo 4</w:t>
      </w:r>
      <w:r w:rsidRPr="003565EB">
        <w:rPr>
          <w:rFonts w:ascii="Palatino Linotype" w:hAnsi="Palatino Linotype" w:cs="Arial"/>
          <w:i/>
          <w:sz w:val="22"/>
          <w:szCs w:val="22"/>
        </w:rPr>
        <w:t xml:space="preserve">. </w:t>
      </w:r>
      <w:r w:rsidRPr="003565EB">
        <w:rPr>
          <w:rFonts w:ascii="Palatino Linotype" w:hAnsi="Palatino Linotype" w:cs="Arial"/>
          <w:b/>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rsidR="00311FE5" w:rsidRPr="003565EB" w:rsidRDefault="00311FE5" w:rsidP="00311FE5">
      <w:pPr>
        <w:pStyle w:val="Textoindependiente2"/>
        <w:spacing w:after="0" w:line="240" w:lineRule="auto"/>
        <w:ind w:left="851" w:right="900"/>
        <w:jc w:val="both"/>
        <w:rPr>
          <w:rFonts w:ascii="Palatino Linotype" w:hAnsi="Palatino Linotype" w:cs="Arial"/>
          <w:i/>
          <w:sz w:val="22"/>
          <w:szCs w:val="22"/>
        </w:rPr>
      </w:pPr>
    </w:p>
    <w:p w:rsidR="00311FE5" w:rsidRPr="003565EB" w:rsidRDefault="00311FE5" w:rsidP="00311FE5">
      <w:pPr>
        <w:pStyle w:val="Textoindependiente2"/>
        <w:spacing w:after="0" w:line="240" w:lineRule="auto"/>
        <w:ind w:left="851" w:right="900"/>
        <w:jc w:val="both"/>
        <w:rPr>
          <w:rFonts w:ascii="Palatino Linotype" w:hAnsi="Palatino Linotype" w:cs="Arial"/>
          <w:i/>
          <w:sz w:val="22"/>
          <w:szCs w:val="22"/>
        </w:rPr>
      </w:pPr>
      <w:r w:rsidRPr="003565EB">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3565EB">
        <w:rPr>
          <w:rFonts w:ascii="Palatino Linotype" w:hAnsi="Palatino Linotype" w:cs="Arial"/>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311FE5" w:rsidRPr="003565EB" w:rsidRDefault="00311FE5" w:rsidP="00311FE5">
      <w:pPr>
        <w:pStyle w:val="Textoindependiente2"/>
        <w:spacing w:after="0" w:line="240" w:lineRule="auto"/>
        <w:ind w:left="851" w:right="900"/>
        <w:jc w:val="both"/>
        <w:rPr>
          <w:rFonts w:ascii="Palatino Linotype" w:hAnsi="Palatino Linotype" w:cs="Arial"/>
          <w:i/>
          <w:sz w:val="22"/>
          <w:szCs w:val="22"/>
        </w:rPr>
      </w:pPr>
    </w:p>
    <w:p w:rsidR="00311FE5" w:rsidRPr="003565EB" w:rsidRDefault="00311FE5" w:rsidP="00311FE5">
      <w:pPr>
        <w:pStyle w:val="Textoindependiente2"/>
        <w:spacing w:after="0" w:line="240" w:lineRule="auto"/>
        <w:ind w:left="851" w:right="900"/>
        <w:jc w:val="both"/>
        <w:rPr>
          <w:rFonts w:ascii="Palatino Linotype" w:hAnsi="Palatino Linotype" w:cs="Arial"/>
          <w:i/>
          <w:sz w:val="22"/>
          <w:szCs w:val="22"/>
        </w:rPr>
      </w:pPr>
      <w:r w:rsidRPr="003565EB">
        <w:rPr>
          <w:rFonts w:ascii="Palatino Linotype" w:hAnsi="Palatino Linotype" w:cs="Arial"/>
          <w:b/>
          <w:i/>
          <w:sz w:val="22"/>
          <w:szCs w:val="22"/>
        </w:rPr>
        <w:t>Solo podrá ser clasificada excepcionalmente como reservada temporalmente por razones de interés público</w:t>
      </w:r>
      <w:r w:rsidRPr="003565EB">
        <w:rPr>
          <w:rFonts w:ascii="Palatino Linotype" w:hAnsi="Palatino Linotype" w:cs="Arial"/>
          <w:i/>
          <w:sz w:val="22"/>
          <w:szCs w:val="22"/>
        </w:rPr>
        <w:t>, en los términos de las causas legítimas y estrictamente necesarias previstas por esta Ley.</w:t>
      </w:r>
    </w:p>
    <w:p w:rsidR="00311FE5" w:rsidRPr="003565EB" w:rsidRDefault="00311FE5" w:rsidP="00311FE5">
      <w:pPr>
        <w:pStyle w:val="Textoindependiente2"/>
        <w:spacing w:after="0" w:line="240" w:lineRule="auto"/>
        <w:ind w:left="851" w:right="900"/>
        <w:jc w:val="both"/>
        <w:rPr>
          <w:rFonts w:ascii="Palatino Linotype" w:hAnsi="Palatino Linotype" w:cs="Arial"/>
          <w:i/>
          <w:sz w:val="22"/>
          <w:szCs w:val="22"/>
        </w:rPr>
      </w:pPr>
      <w:r w:rsidRPr="003565EB">
        <w:rPr>
          <w:rFonts w:ascii="Palatino Linotype" w:hAnsi="Palatino Linotype" w:cs="Arial"/>
          <w:i/>
          <w:sz w:val="22"/>
          <w:szCs w:val="22"/>
        </w:rPr>
        <w:t>…</w:t>
      </w:r>
    </w:p>
    <w:p w:rsidR="00311FE5" w:rsidRPr="003565EB" w:rsidRDefault="00311FE5" w:rsidP="00311FE5">
      <w:pPr>
        <w:pStyle w:val="Textoindependiente2"/>
        <w:tabs>
          <w:tab w:val="left" w:pos="7797"/>
        </w:tabs>
        <w:spacing w:after="0" w:line="240" w:lineRule="auto"/>
        <w:ind w:left="851" w:right="900"/>
        <w:jc w:val="both"/>
        <w:rPr>
          <w:rFonts w:ascii="Palatino Linotype" w:hAnsi="Palatino Linotype" w:cs="Arial"/>
          <w:i/>
          <w:sz w:val="22"/>
          <w:szCs w:val="22"/>
        </w:rPr>
      </w:pPr>
      <w:r w:rsidRPr="003565EB">
        <w:rPr>
          <w:rFonts w:ascii="Palatino Linotype" w:hAnsi="Palatino Linotype" w:cs="Arial"/>
          <w:b/>
          <w:i/>
          <w:sz w:val="22"/>
          <w:szCs w:val="22"/>
        </w:rPr>
        <w:t>Artículo 122</w:t>
      </w:r>
      <w:r w:rsidRPr="003565EB">
        <w:rPr>
          <w:rFonts w:ascii="Palatino Linotype" w:hAnsi="Palatino Linotype" w:cs="Arial"/>
          <w:i/>
          <w:sz w:val="22"/>
          <w:szCs w:val="22"/>
        </w:rPr>
        <w:t xml:space="preserve">. </w:t>
      </w:r>
      <w:r w:rsidRPr="003565EB">
        <w:rPr>
          <w:rFonts w:ascii="Palatino Linotype" w:hAnsi="Palatino Linotype" w:cs="Arial"/>
          <w:b/>
          <w:i/>
          <w:sz w:val="22"/>
          <w:szCs w:val="22"/>
        </w:rPr>
        <w:t xml:space="preserve">La clasificación es el proceso mediante el cual el sujeto obligado determina que la información en su poder actualiza alguno de los supuestos de </w:t>
      </w:r>
      <w:r w:rsidRPr="003565EB">
        <w:rPr>
          <w:rFonts w:ascii="Palatino Linotype" w:hAnsi="Palatino Linotype" w:cs="Arial"/>
          <w:i/>
          <w:sz w:val="22"/>
          <w:szCs w:val="22"/>
        </w:rPr>
        <w:t xml:space="preserve">reserva o </w:t>
      </w:r>
      <w:r w:rsidRPr="003565EB">
        <w:rPr>
          <w:rFonts w:ascii="Palatino Linotype" w:hAnsi="Palatino Linotype" w:cs="Arial"/>
          <w:b/>
          <w:i/>
          <w:sz w:val="22"/>
          <w:szCs w:val="22"/>
        </w:rPr>
        <w:t>confidencialidad,</w:t>
      </w:r>
      <w:r w:rsidRPr="003565EB">
        <w:rPr>
          <w:rFonts w:ascii="Palatino Linotype" w:hAnsi="Palatino Linotype" w:cs="Arial"/>
          <w:i/>
          <w:sz w:val="22"/>
          <w:szCs w:val="22"/>
        </w:rPr>
        <w:t xml:space="preserve"> de conformidad con lo dispuesto en el presente título.</w:t>
      </w:r>
    </w:p>
    <w:p w:rsidR="00311FE5" w:rsidRPr="003565EB" w:rsidRDefault="00311FE5" w:rsidP="00311FE5">
      <w:pPr>
        <w:pStyle w:val="Textoindependiente2"/>
        <w:tabs>
          <w:tab w:val="left" w:pos="7797"/>
        </w:tabs>
        <w:spacing w:after="0" w:line="240" w:lineRule="auto"/>
        <w:ind w:left="851" w:right="900"/>
        <w:jc w:val="both"/>
        <w:rPr>
          <w:rFonts w:ascii="Palatino Linotype" w:hAnsi="Palatino Linotype" w:cs="Arial"/>
          <w:i/>
          <w:sz w:val="22"/>
          <w:szCs w:val="22"/>
        </w:rPr>
      </w:pPr>
    </w:p>
    <w:p w:rsidR="00311FE5" w:rsidRPr="003565EB" w:rsidRDefault="00311FE5" w:rsidP="00311FE5">
      <w:pPr>
        <w:pStyle w:val="Textoindependiente2"/>
        <w:tabs>
          <w:tab w:val="left" w:pos="7797"/>
        </w:tabs>
        <w:spacing w:after="0" w:line="240" w:lineRule="auto"/>
        <w:ind w:left="851" w:right="900"/>
        <w:jc w:val="both"/>
        <w:rPr>
          <w:rFonts w:ascii="Palatino Linotype" w:hAnsi="Palatino Linotype" w:cs="Arial"/>
          <w:b/>
          <w:i/>
          <w:sz w:val="22"/>
          <w:szCs w:val="22"/>
        </w:rPr>
      </w:pPr>
      <w:r w:rsidRPr="003565EB">
        <w:rPr>
          <w:rFonts w:ascii="Palatino Linotype" w:hAnsi="Palatino Linotype" w:cs="Arial"/>
          <w:b/>
          <w:i/>
          <w:sz w:val="22"/>
          <w:szCs w:val="22"/>
        </w:rPr>
        <w:t>Los supuestos de reserva o confidencialidad previstos en las leyes deberán ser acordes con las bases, principios y disposiciones establecidos en la Ley General y, en ningún caso, podrán contravenirla.</w:t>
      </w:r>
    </w:p>
    <w:p w:rsidR="00311FE5" w:rsidRPr="003565EB" w:rsidRDefault="00311FE5" w:rsidP="00311FE5">
      <w:pPr>
        <w:pStyle w:val="Textoindependiente2"/>
        <w:tabs>
          <w:tab w:val="left" w:pos="7797"/>
        </w:tabs>
        <w:spacing w:after="0" w:line="240" w:lineRule="auto"/>
        <w:ind w:left="851" w:right="900"/>
        <w:jc w:val="both"/>
        <w:rPr>
          <w:rFonts w:ascii="Palatino Linotype" w:hAnsi="Palatino Linotype" w:cs="Arial"/>
          <w:b/>
          <w:i/>
          <w:sz w:val="22"/>
          <w:szCs w:val="22"/>
        </w:rPr>
      </w:pPr>
    </w:p>
    <w:p w:rsidR="00311FE5" w:rsidRPr="003565EB" w:rsidRDefault="00311FE5" w:rsidP="00311FE5">
      <w:pPr>
        <w:ind w:left="851" w:right="900"/>
        <w:jc w:val="both"/>
        <w:rPr>
          <w:rFonts w:ascii="Palatino Linotype" w:hAnsi="Palatino Linotype" w:cs="Arial"/>
          <w:i/>
          <w:sz w:val="22"/>
          <w:szCs w:val="22"/>
        </w:rPr>
      </w:pPr>
      <w:r w:rsidRPr="003565EB">
        <w:rPr>
          <w:rFonts w:ascii="Palatino Linotype" w:hAnsi="Palatino Linotype" w:cs="Arial"/>
          <w:i/>
          <w:sz w:val="22"/>
          <w:szCs w:val="22"/>
        </w:rPr>
        <w:t>Los titulares de las áreas de los sujetos obligados serán los responsables de clasificar la información, de conformidad con lo dispuesto en la presente Ley y demás disposiciones jurídicas aplicables.</w:t>
      </w:r>
    </w:p>
    <w:p w:rsidR="00311FE5" w:rsidRPr="003565EB" w:rsidRDefault="00311FE5" w:rsidP="00311FE5">
      <w:pPr>
        <w:ind w:left="851" w:right="900"/>
        <w:jc w:val="both"/>
        <w:rPr>
          <w:rFonts w:ascii="Palatino Linotype" w:hAnsi="Palatino Linotype" w:cs="Arial"/>
          <w:i/>
          <w:sz w:val="22"/>
          <w:szCs w:val="22"/>
        </w:rPr>
      </w:pPr>
    </w:p>
    <w:p w:rsidR="00311FE5" w:rsidRPr="003565EB" w:rsidRDefault="00311FE5" w:rsidP="00311FE5">
      <w:pPr>
        <w:ind w:left="851" w:right="900"/>
        <w:jc w:val="both"/>
        <w:rPr>
          <w:rFonts w:ascii="Palatino Linotype" w:hAnsi="Palatino Linotype" w:cs="Arial"/>
          <w:b/>
          <w:i/>
          <w:sz w:val="22"/>
          <w:szCs w:val="22"/>
        </w:rPr>
      </w:pPr>
      <w:r w:rsidRPr="003565EB">
        <w:rPr>
          <w:rFonts w:ascii="Palatino Linotype" w:hAnsi="Palatino Linotype" w:cs="Arial"/>
          <w:b/>
          <w:i/>
          <w:sz w:val="22"/>
          <w:szCs w:val="22"/>
        </w:rPr>
        <w:lastRenderedPageBreak/>
        <w:t>Artículo 143.</w:t>
      </w:r>
      <w:r w:rsidRPr="003565EB">
        <w:rPr>
          <w:rFonts w:ascii="Palatino Linotype" w:hAnsi="Palatino Linotype" w:cs="Arial"/>
          <w:i/>
          <w:sz w:val="22"/>
          <w:szCs w:val="22"/>
        </w:rPr>
        <w:t xml:space="preserve"> </w:t>
      </w:r>
      <w:r w:rsidRPr="003565EB">
        <w:rPr>
          <w:rFonts w:ascii="Palatino Linotype" w:hAnsi="Palatino Linotype" w:cs="Arial"/>
          <w:b/>
          <w:i/>
          <w:sz w:val="22"/>
          <w:szCs w:val="22"/>
        </w:rPr>
        <w:t>Para los efectos de esta Ley se considera información confidencial, la clasificada como tal</w:t>
      </w:r>
      <w:r w:rsidRPr="003565EB">
        <w:rPr>
          <w:rFonts w:ascii="Palatino Linotype" w:hAnsi="Palatino Linotype" w:cs="Arial"/>
          <w:i/>
          <w:sz w:val="22"/>
          <w:szCs w:val="22"/>
        </w:rPr>
        <w:t xml:space="preserve">, </w:t>
      </w:r>
      <w:r w:rsidRPr="003565EB">
        <w:rPr>
          <w:rFonts w:ascii="Palatino Linotype" w:hAnsi="Palatino Linotype" w:cs="Arial"/>
          <w:b/>
          <w:i/>
          <w:sz w:val="22"/>
          <w:szCs w:val="22"/>
        </w:rPr>
        <w:t xml:space="preserve">de manera permanente, por su naturaleza, cuando: </w:t>
      </w:r>
    </w:p>
    <w:p w:rsidR="00311FE5" w:rsidRPr="003565EB" w:rsidRDefault="00311FE5" w:rsidP="00311FE5">
      <w:pPr>
        <w:ind w:left="851" w:right="900"/>
        <w:jc w:val="both"/>
        <w:rPr>
          <w:rFonts w:ascii="Palatino Linotype" w:hAnsi="Palatino Linotype" w:cs="Arial"/>
          <w:b/>
          <w:i/>
          <w:sz w:val="22"/>
          <w:szCs w:val="22"/>
        </w:rPr>
      </w:pPr>
      <w:r w:rsidRPr="003565EB">
        <w:rPr>
          <w:rFonts w:ascii="Palatino Linotype" w:hAnsi="Palatino Linotype" w:cs="Arial"/>
          <w:b/>
          <w:i/>
          <w:sz w:val="22"/>
          <w:szCs w:val="22"/>
        </w:rPr>
        <w:t xml:space="preserve">I. Se refiera a la información privada y los datos personales concernientes a una persona física o jurídico colectiva identificada o identificable; </w:t>
      </w:r>
    </w:p>
    <w:p w:rsidR="00311FE5" w:rsidRPr="003565EB" w:rsidRDefault="00311FE5" w:rsidP="00311FE5">
      <w:pPr>
        <w:ind w:left="851" w:right="900"/>
        <w:jc w:val="both"/>
        <w:rPr>
          <w:rFonts w:ascii="Palatino Linotype" w:hAnsi="Palatino Linotype" w:cs="Arial"/>
          <w:i/>
          <w:sz w:val="22"/>
          <w:szCs w:val="22"/>
        </w:rPr>
      </w:pPr>
      <w:r w:rsidRPr="003565EB">
        <w:rPr>
          <w:rFonts w:ascii="Palatino Linotype" w:hAnsi="Palatino Linotype" w:cs="Arial"/>
          <w:i/>
          <w:sz w:val="22"/>
          <w:szCs w:val="22"/>
        </w:rPr>
        <w:t xml:space="preserve">II. Los secretos bancario, fiduciario, industrial, comercial, fiscal, bursátil y postal, cuya titularidad corresponda a particulares, sujetos de derecho internacional o a sujetos obligados cuando no involucren el ejercicio de recursos públicos; y </w:t>
      </w:r>
    </w:p>
    <w:p w:rsidR="00311FE5" w:rsidRPr="003565EB" w:rsidRDefault="00311FE5" w:rsidP="00311FE5">
      <w:pPr>
        <w:ind w:left="851" w:right="900"/>
        <w:jc w:val="both"/>
        <w:rPr>
          <w:rFonts w:ascii="Palatino Linotype" w:hAnsi="Palatino Linotype" w:cs="Arial"/>
          <w:i/>
          <w:sz w:val="22"/>
          <w:szCs w:val="22"/>
        </w:rPr>
      </w:pPr>
      <w:r w:rsidRPr="003565EB">
        <w:rPr>
          <w:rFonts w:ascii="Palatino Linotype" w:hAnsi="Palatino Linotype" w:cs="Arial"/>
          <w:i/>
          <w:sz w:val="22"/>
          <w:szCs w:val="22"/>
        </w:rPr>
        <w:t xml:space="preserve">III. La que presenten los particulares a los sujetos obligados, de conformidad con lo dispuesto por las leyes o los tratados internacionales. </w:t>
      </w:r>
    </w:p>
    <w:p w:rsidR="00311FE5" w:rsidRPr="003565EB" w:rsidRDefault="00311FE5" w:rsidP="00311FE5">
      <w:pPr>
        <w:ind w:left="851" w:right="900"/>
        <w:jc w:val="both"/>
        <w:rPr>
          <w:rFonts w:ascii="Palatino Linotype" w:hAnsi="Palatino Linotype" w:cs="Arial"/>
          <w:i/>
          <w:sz w:val="22"/>
          <w:szCs w:val="22"/>
        </w:rPr>
      </w:pPr>
    </w:p>
    <w:p w:rsidR="00311FE5" w:rsidRPr="003565EB" w:rsidRDefault="00311FE5" w:rsidP="00311FE5">
      <w:pPr>
        <w:ind w:left="851" w:right="900"/>
        <w:jc w:val="both"/>
        <w:rPr>
          <w:rFonts w:ascii="Palatino Linotype" w:hAnsi="Palatino Linotype" w:cs="Arial"/>
          <w:b/>
          <w:i/>
          <w:sz w:val="22"/>
          <w:szCs w:val="22"/>
        </w:rPr>
      </w:pPr>
      <w:r w:rsidRPr="003565EB">
        <w:rPr>
          <w:rFonts w:ascii="Palatino Linotype" w:hAnsi="Palatino Linotype" w:cs="Arial"/>
          <w:b/>
          <w:i/>
          <w:sz w:val="22"/>
          <w:szCs w:val="22"/>
        </w:rPr>
        <w:t xml:space="preserve">La información confidencial no estará sujeta a temporalidad alguna y sólo podrán tener acceso a ella los titulares de la misma, sus representantes y los servidores públicos facultados para ello. </w:t>
      </w:r>
    </w:p>
    <w:p w:rsidR="00311FE5" w:rsidRPr="003565EB" w:rsidRDefault="00311FE5" w:rsidP="00311FE5">
      <w:pPr>
        <w:ind w:left="851" w:right="900"/>
        <w:jc w:val="both"/>
        <w:rPr>
          <w:rFonts w:ascii="Palatino Linotype" w:hAnsi="Palatino Linotype" w:cs="Arial"/>
          <w:i/>
          <w:sz w:val="22"/>
          <w:szCs w:val="22"/>
        </w:rPr>
      </w:pPr>
    </w:p>
    <w:p w:rsidR="00311FE5" w:rsidRPr="003565EB" w:rsidRDefault="00311FE5" w:rsidP="00311FE5">
      <w:pPr>
        <w:ind w:left="851" w:right="900"/>
        <w:jc w:val="both"/>
        <w:rPr>
          <w:rFonts w:ascii="Palatino Linotype" w:hAnsi="Palatino Linotype" w:cs="Arial"/>
          <w:i/>
          <w:sz w:val="22"/>
          <w:szCs w:val="22"/>
        </w:rPr>
      </w:pPr>
      <w:r w:rsidRPr="003565EB">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b/>
          <w:i/>
          <w:sz w:val="22"/>
          <w:szCs w:val="22"/>
        </w:rPr>
      </w:pPr>
      <w:r w:rsidRPr="003565EB">
        <w:rPr>
          <w:rFonts w:ascii="Palatino Linotype" w:hAnsi="Palatino Linotype" w:cs="Arial"/>
          <w:b/>
          <w:i/>
          <w:sz w:val="22"/>
          <w:szCs w:val="22"/>
        </w:rPr>
        <w:t>Artículo 148.</w:t>
      </w:r>
      <w:r w:rsidRPr="003565EB">
        <w:rPr>
          <w:rFonts w:ascii="Palatino Linotype" w:hAnsi="Palatino Linotype" w:cs="Arial"/>
          <w:i/>
          <w:sz w:val="22"/>
          <w:szCs w:val="22"/>
        </w:rPr>
        <w:t xml:space="preserve"> </w:t>
      </w:r>
      <w:r w:rsidRPr="003565EB">
        <w:rPr>
          <w:rFonts w:ascii="Palatino Linotype" w:hAnsi="Palatino Linotype" w:cs="Arial"/>
          <w:b/>
          <w:i/>
          <w:sz w:val="22"/>
          <w:szCs w:val="22"/>
        </w:rPr>
        <w:t xml:space="preserve">No se requerirá el consentimiento del titular de la información confidencial cuando: </w:t>
      </w: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b/>
          <w:i/>
          <w:sz w:val="22"/>
          <w:szCs w:val="22"/>
        </w:rPr>
      </w:pPr>
      <w:r w:rsidRPr="003565EB">
        <w:rPr>
          <w:rFonts w:ascii="Palatino Linotype" w:hAnsi="Palatino Linotype" w:cs="Arial"/>
          <w:b/>
          <w:i/>
          <w:sz w:val="22"/>
          <w:szCs w:val="22"/>
        </w:rPr>
        <w:t xml:space="preserve">I. La información se encuentre en registros públicos o fuentes de acceso público; </w:t>
      </w: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b/>
          <w:i/>
          <w:sz w:val="22"/>
          <w:szCs w:val="22"/>
        </w:rPr>
      </w:pPr>
      <w:r w:rsidRPr="003565EB">
        <w:rPr>
          <w:rFonts w:ascii="Palatino Linotype" w:hAnsi="Palatino Linotype" w:cs="Arial"/>
          <w:b/>
          <w:i/>
          <w:sz w:val="22"/>
          <w:szCs w:val="22"/>
        </w:rPr>
        <w:t xml:space="preserve">II. Por Ley tenga el carácter de pública; </w:t>
      </w: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i/>
          <w:sz w:val="22"/>
          <w:szCs w:val="22"/>
        </w:rPr>
      </w:pPr>
      <w:r w:rsidRPr="003565EB">
        <w:rPr>
          <w:rFonts w:ascii="Palatino Linotype" w:hAnsi="Palatino Linotype" w:cs="Arial"/>
          <w:i/>
          <w:sz w:val="22"/>
          <w:szCs w:val="22"/>
        </w:rPr>
        <w:t xml:space="preserve">III. Exista una orden judicial; </w:t>
      </w: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i/>
          <w:sz w:val="22"/>
          <w:szCs w:val="22"/>
        </w:rPr>
      </w:pPr>
      <w:r w:rsidRPr="003565EB">
        <w:rPr>
          <w:rFonts w:ascii="Palatino Linotype" w:hAnsi="Palatino Linotype" w:cs="Arial"/>
          <w:i/>
          <w:sz w:val="22"/>
          <w:szCs w:val="22"/>
        </w:rPr>
        <w:t xml:space="preserve">IV. Por razones de seguridad pública, o para proteger los derechos de terceros, se requiera su publicación; o </w:t>
      </w: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i/>
          <w:sz w:val="22"/>
          <w:szCs w:val="22"/>
        </w:rPr>
      </w:pPr>
      <w:r w:rsidRPr="003565EB">
        <w:rPr>
          <w:rFonts w:ascii="Palatino Linotype" w:hAnsi="Palatino Linotype" w:cs="Arial"/>
          <w:i/>
          <w:sz w:val="22"/>
          <w:szCs w:val="22"/>
        </w:rPr>
        <w:t xml:space="preserve">V. 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i/>
          <w:sz w:val="22"/>
          <w:szCs w:val="22"/>
        </w:rPr>
      </w:pP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i/>
          <w:sz w:val="22"/>
          <w:szCs w:val="22"/>
        </w:rPr>
      </w:pPr>
      <w:r w:rsidRPr="003565EB">
        <w:rPr>
          <w:rFonts w:ascii="Palatino Linotype" w:hAnsi="Palatino Linotype" w:cs="Arial"/>
          <w:i/>
          <w:sz w:val="22"/>
          <w:szCs w:val="22"/>
        </w:rPr>
        <w:t xml:space="preserve">Para efectos de la fracción I del presente artículo, deberá sujetarse a lo previsto en las disposiciones jurídicas aplicables. </w:t>
      </w: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i/>
          <w:sz w:val="22"/>
          <w:szCs w:val="22"/>
        </w:rPr>
      </w:pP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i/>
          <w:sz w:val="22"/>
          <w:szCs w:val="22"/>
        </w:rPr>
      </w:pPr>
      <w:r w:rsidRPr="003565EB">
        <w:rPr>
          <w:rFonts w:ascii="Palatino Linotype" w:hAnsi="Palatino Linotype" w:cs="Arial"/>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i/>
          <w:sz w:val="22"/>
          <w:szCs w:val="22"/>
        </w:rPr>
      </w:pP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b/>
          <w:i/>
          <w:sz w:val="22"/>
          <w:szCs w:val="22"/>
        </w:rPr>
      </w:pPr>
      <w:r w:rsidRPr="003565EB">
        <w:rPr>
          <w:rFonts w:ascii="Palatino Linotype" w:hAnsi="Palatino Linotype" w:cs="Arial"/>
          <w:b/>
          <w:i/>
          <w:sz w:val="22"/>
          <w:szCs w:val="22"/>
        </w:rPr>
        <w:lastRenderedPageBreak/>
        <w:t>Artículo 149. El acuerdo que clasifique la información como confidencial deberá contener un razonamiento lógico en el que demuestre que la información se encuentra en alguna o algunas de las hipótesis previstas en la presente Ley.”</w:t>
      </w: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b/>
          <w:i/>
          <w:sz w:val="20"/>
        </w:rPr>
      </w:pPr>
      <w:r w:rsidRPr="003565EB">
        <w:rPr>
          <w:rFonts w:ascii="Palatino Linotype" w:hAnsi="Palatino Linotype" w:cs="Arial"/>
          <w:i/>
          <w:sz w:val="22"/>
          <w:szCs w:val="22"/>
        </w:rPr>
        <w:t>(Énfasis añadido)</w:t>
      </w:r>
    </w:p>
    <w:p w:rsidR="00311FE5" w:rsidRPr="003565EB" w:rsidRDefault="00311FE5" w:rsidP="00311FE5">
      <w:pPr>
        <w:spacing w:before="240" w:after="240" w:line="360" w:lineRule="auto"/>
        <w:ind w:right="49"/>
        <w:jc w:val="both"/>
        <w:rPr>
          <w:rFonts w:ascii="Palatino Linotype" w:hAnsi="Palatino Linotype" w:cs="Arial"/>
        </w:rPr>
      </w:pPr>
      <w:r w:rsidRPr="003565EB">
        <w:rPr>
          <w:rFonts w:ascii="Palatino Linotype" w:hAnsi="Palatino Linotype" w:cs="Arial"/>
          <w:lang w:eastAsia="es-MX"/>
        </w:rPr>
        <w:t xml:space="preserve">Por otro lado, es necesario hacer hincapié que no basta con que </w:t>
      </w:r>
      <w:r w:rsidRPr="003565EB">
        <w:rPr>
          <w:rFonts w:ascii="Palatino Linotype" w:hAnsi="Palatino Linotype" w:cs="Arial"/>
          <w:b/>
          <w:lang w:eastAsia="es-MX"/>
        </w:rPr>
        <w:t xml:space="preserve">EL SUJETO OBLIGADO </w:t>
      </w:r>
      <w:r w:rsidRPr="003565EB">
        <w:rPr>
          <w:rFonts w:ascii="Palatino Linotype" w:hAnsi="Palatino Linotype" w:cs="Arial"/>
          <w:lang w:eastAsia="es-MX"/>
        </w:rPr>
        <w:t xml:space="preserve">refiera o invoque que la información se encuentra clasificada como confidencial al contener datos personales de personas físicas, en su caso, se </w:t>
      </w:r>
      <w:r w:rsidRPr="003565EB">
        <w:rPr>
          <w:rFonts w:ascii="Palatino Linotype" w:hAnsi="Palatino Linotype" w:cs="Arial"/>
        </w:rPr>
        <w:t>debe seguir un procedimiento legal para su declaración, es decir, es necesario que el Comité de Transparencia justifique claramente que cumple con las formalidades previstas en los artículos 128, 130 y 131 de la Ley en cita, como a continuación se plasman:</w:t>
      </w: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b/>
          <w:i/>
          <w:sz w:val="22"/>
          <w:szCs w:val="22"/>
        </w:rPr>
      </w:pPr>
      <w:r w:rsidRPr="003565EB">
        <w:rPr>
          <w:rFonts w:ascii="Palatino Linotype" w:hAnsi="Palatino Linotype" w:cs="Arial"/>
          <w:i/>
          <w:sz w:val="22"/>
          <w:szCs w:val="22"/>
        </w:rPr>
        <w:t>“</w:t>
      </w:r>
      <w:r w:rsidRPr="003565EB">
        <w:rPr>
          <w:rFonts w:ascii="Palatino Linotype" w:hAnsi="Palatino Linotype" w:cs="Arial"/>
          <w:b/>
          <w:i/>
          <w:sz w:val="22"/>
          <w:szCs w:val="22"/>
        </w:rPr>
        <w:t>Artículo 128</w:t>
      </w:r>
      <w:r w:rsidRPr="003565EB">
        <w:rPr>
          <w:rFonts w:ascii="Palatino Linotype" w:hAnsi="Palatino Linotype" w:cs="Arial"/>
          <w:i/>
          <w:sz w:val="22"/>
          <w:szCs w:val="22"/>
        </w:rPr>
        <w:t xml:space="preserve">. </w:t>
      </w:r>
      <w:r w:rsidRPr="003565EB">
        <w:rPr>
          <w:rFonts w:ascii="Palatino Linotype" w:hAnsi="Palatino Linotype" w:cs="Arial"/>
          <w:b/>
          <w:i/>
          <w:sz w:val="22"/>
          <w:szCs w:val="22"/>
        </w:rPr>
        <w:t>En los casos en que se niegue el acceso a la información, por actualizarse alguno de los supuestos de clasificación, el Comité de Transparencia deberá</w:t>
      </w:r>
      <w:r w:rsidRPr="003565EB">
        <w:rPr>
          <w:rFonts w:ascii="Palatino Linotype" w:hAnsi="Palatino Linotype" w:cs="Arial"/>
          <w:i/>
          <w:sz w:val="22"/>
          <w:szCs w:val="22"/>
        </w:rPr>
        <w:t xml:space="preserve"> </w:t>
      </w:r>
      <w:r w:rsidRPr="003565EB">
        <w:rPr>
          <w:rFonts w:ascii="Palatino Linotype" w:hAnsi="Palatino Linotype" w:cs="Arial"/>
          <w:b/>
          <w:i/>
          <w:sz w:val="22"/>
          <w:szCs w:val="22"/>
        </w:rPr>
        <w:t>confirmar,</w:t>
      </w:r>
      <w:r w:rsidRPr="003565EB">
        <w:rPr>
          <w:rFonts w:ascii="Palatino Linotype" w:hAnsi="Palatino Linotype" w:cs="Arial"/>
          <w:i/>
          <w:sz w:val="22"/>
          <w:szCs w:val="22"/>
        </w:rPr>
        <w:t xml:space="preserve"> </w:t>
      </w:r>
      <w:r w:rsidRPr="003565EB">
        <w:rPr>
          <w:rFonts w:ascii="Palatino Linotype" w:hAnsi="Palatino Linotype" w:cs="Arial"/>
          <w:b/>
          <w:i/>
          <w:sz w:val="22"/>
          <w:szCs w:val="22"/>
        </w:rPr>
        <w:t>modificar o revocar la decisión.</w:t>
      </w: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b/>
          <w:i/>
          <w:sz w:val="22"/>
          <w:szCs w:val="22"/>
        </w:rPr>
      </w:pP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i/>
          <w:sz w:val="22"/>
          <w:szCs w:val="22"/>
        </w:rPr>
      </w:pPr>
      <w:r w:rsidRPr="003565EB">
        <w:rPr>
          <w:rFonts w:ascii="Palatino Linotype" w:hAnsi="Palatino Linotype" w:cs="Arial"/>
          <w:b/>
          <w:i/>
          <w:sz w:val="22"/>
          <w:szCs w:val="22"/>
        </w:rPr>
        <w:t xml:space="preserve">Para motivar la clasificación de la información </w:t>
      </w:r>
      <w:r w:rsidRPr="003565EB">
        <w:rPr>
          <w:rFonts w:ascii="Palatino Linotype" w:hAnsi="Palatino Linotype" w:cs="Arial"/>
          <w:i/>
          <w:sz w:val="22"/>
          <w:szCs w:val="22"/>
        </w:rPr>
        <w:t>y la ampliación del plazo de reserva,</w:t>
      </w:r>
      <w:r w:rsidRPr="003565EB">
        <w:rPr>
          <w:rFonts w:ascii="Palatino Linotype" w:hAnsi="Palatino Linotype" w:cs="Arial"/>
          <w:b/>
          <w:i/>
          <w:sz w:val="22"/>
          <w:szCs w:val="22"/>
        </w:rPr>
        <w:t xml:space="preserve"> se deberán señalar las razones, motivos o circunstancias especiales que llevaron al sujeto obligado a concluir que el caso particular se ajusta al supuesto previsto por la norma legal invocada como fundamento. </w:t>
      </w:r>
      <w:r w:rsidRPr="003565EB">
        <w:rPr>
          <w:rFonts w:ascii="Palatino Linotype" w:hAnsi="Palatino Linotype" w:cs="Arial"/>
          <w:i/>
          <w:sz w:val="22"/>
          <w:szCs w:val="22"/>
        </w:rPr>
        <w:t>Además, el sujeto obligado deberá, en todo momento, aplicar una prueba de daño.</w:t>
      </w: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i/>
          <w:sz w:val="22"/>
          <w:szCs w:val="22"/>
        </w:rPr>
      </w:pP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i/>
          <w:sz w:val="22"/>
          <w:szCs w:val="22"/>
        </w:rPr>
      </w:pPr>
      <w:r w:rsidRPr="003565EB">
        <w:rPr>
          <w:rFonts w:ascii="Palatino Linotype" w:hAnsi="Palatino Linotype" w:cs="Arial"/>
          <w:i/>
          <w:sz w:val="22"/>
          <w:szCs w:val="22"/>
        </w:rPr>
        <w:t>Tratándose de aquélla información que actualice los supuestos de clasificación, deberá señalarse el plazo al que estará sujeto la reserva.</w:t>
      </w: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i/>
          <w:sz w:val="22"/>
          <w:szCs w:val="22"/>
        </w:rPr>
      </w:pP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i/>
          <w:sz w:val="22"/>
          <w:szCs w:val="22"/>
        </w:rPr>
      </w:pPr>
      <w:r w:rsidRPr="003565EB">
        <w:rPr>
          <w:rFonts w:ascii="Palatino Linotype" w:hAnsi="Palatino Linotype" w:cs="Arial"/>
          <w:b/>
          <w:i/>
          <w:sz w:val="22"/>
          <w:szCs w:val="22"/>
        </w:rPr>
        <w:t>Artículo 130</w:t>
      </w:r>
      <w:r w:rsidRPr="003565EB">
        <w:rPr>
          <w:rFonts w:ascii="Palatino Linotype" w:hAnsi="Palatino Linotype" w:cs="Arial"/>
          <w:i/>
          <w:sz w:val="22"/>
          <w:szCs w:val="22"/>
        </w:rPr>
        <w:t xml:space="preserve">. </w:t>
      </w:r>
      <w:r w:rsidRPr="003565EB">
        <w:rPr>
          <w:rFonts w:ascii="Palatino Linotype" w:hAnsi="Palatino Linotype" w:cs="Arial"/>
          <w:b/>
          <w:i/>
          <w:sz w:val="22"/>
          <w:szCs w:val="22"/>
        </w:rPr>
        <w:t>Los sujetos obligados deberán aplicar, de manera restrictiva y limitada, las excepciones al derecho de acceso a la información y sólo podrán invocarlas cuando acrediten su procedencia,</w:t>
      </w:r>
      <w:r w:rsidRPr="003565EB">
        <w:rPr>
          <w:rFonts w:ascii="Palatino Linotype" w:hAnsi="Palatino Linotype" w:cs="Arial"/>
          <w:i/>
          <w:sz w:val="22"/>
          <w:szCs w:val="22"/>
        </w:rPr>
        <w:t xml:space="preserve"> sin ampliar las excepciones o supuestos de reserva o confidencialidad previstos en la Ley General y la presente Ley, aduciendo analogía o mayoría de razón.</w:t>
      </w: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i/>
          <w:sz w:val="22"/>
          <w:szCs w:val="22"/>
        </w:rPr>
      </w:pP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i/>
          <w:sz w:val="22"/>
          <w:szCs w:val="22"/>
        </w:rPr>
      </w:pPr>
      <w:r w:rsidRPr="003565EB">
        <w:rPr>
          <w:rFonts w:ascii="Palatino Linotype" w:hAnsi="Palatino Linotype" w:cs="Arial"/>
          <w:b/>
          <w:i/>
          <w:sz w:val="22"/>
          <w:szCs w:val="22"/>
        </w:rPr>
        <w:t>Artículo 131</w:t>
      </w:r>
      <w:r w:rsidRPr="003565E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esta Ley corresponderá a los sujetos obligados; </w:t>
      </w:r>
      <w:r w:rsidRPr="003565EB">
        <w:rPr>
          <w:rFonts w:ascii="Palatino Linotype" w:hAnsi="Palatino Linotype" w:cs="Arial"/>
          <w:b/>
          <w:i/>
          <w:sz w:val="22"/>
          <w:szCs w:val="22"/>
        </w:rPr>
        <w:t>en tal caso deberá fundar y motivar debidamente la clasificación de la información</w:t>
      </w:r>
      <w:r w:rsidRPr="003565EB">
        <w:rPr>
          <w:rFonts w:ascii="Palatino Linotype" w:hAnsi="Palatino Linotype" w:cs="Arial"/>
          <w:i/>
          <w:sz w:val="22"/>
          <w:szCs w:val="22"/>
        </w:rPr>
        <w:t xml:space="preserve">, de conformidad con lo previsto en la presente Ley.” </w:t>
      </w:r>
    </w:p>
    <w:p w:rsidR="00311FE5" w:rsidRPr="003565EB" w:rsidRDefault="00311FE5" w:rsidP="00311FE5">
      <w:pPr>
        <w:pStyle w:val="Textoindependiente2"/>
        <w:spacing w:before="120" w:line="240" w:lineRule="auto"/>
        <w:ind w:left="851" w:right="900"/>
        <w:contextualSpacing/>
        <w:jc w:val="both"/>
        <w:rPr>
          <w:rFonts w:ascii="Palatino Linotype" w:hAnsi="Palatino Linotype" w:cs="Arial"/>
          <w:i/>
          <w:sz w:val="22"/>
          <w:szCs w:val="22"/>
        </w:rPr>
      </w:pPr>
      <w:r w:rsidRPr="003565EB">
        <w:rPr>
          <w:rFonts w:ascii="Palatino Linotype" w:hAnsi="Palatino Linotype" w:cs="Arial"/>
          <w:i/>
          <w:sz w:val="22"/>
          <w:szCs w:val="22"/>
        </w:rPr>
        <w:lastRenderedPageBreak/>
        <w:t>(Énfasis añadido)</w:t>
      </w:r>
    </w:p>
    <w:p w:rsidR="00311FE5" w:rsidRPr="003565EB" w:rsidRDefault="00311FE5" w:rsidP="00311FE5">
      <w:pPr>
        <w:spacing w:before="240" w:after="240" w:line="360" w:lineRule="auto"/>
        <w:ind w:right="51"/>
        <w:jc w:val="both"/>
        <w:rPr>
          <w:rFonts w:ascii="Palatino Linotype" w:hAnsi="Palatino Linotype" w:cs="Arial"/>
        </w:rPr>
      </w:pPr>
      <w:r w:rsidRPr="003565EB">
        <w:rPr>
          <w:rFonts w:ascii="Palatino Linotype" w:hAnsi="Palatino Linotype" w:cs="Arial"/>
        </w:rPr>
        <w:t>De lo transcrito,</w:t>
      </w:r>
      <w:r w:rsidRPr="003565EB">
        <w:rPr>
          <w:rFonts w:ascii="Palatino Linotype" w:hAnsi="Palatino Linotype" w:cs="Arial"/>
          <w:b/>
        </w:rPr>
        <w:t xml:space="preserve"> </w:t>
      </w:r>
      <w:r w:rsidRPr="003565EB">
        <w:rPr>
          <w:rFonts w:ascii="Palatino Linotype" w:hAnsi="Palatino Linotype" w:cs="Arial"/>
        </w:rPr>
        <w:t xml:space="preserve">se demuestra que </w:t>
      </w:r>
      <w:r w:rsidRPr="003565EB">
        <w:rPr>
          <w:rFonts w:ascii="Palatino Linotype" w:hAnsi="Palatino Linotype" w:cs="Arial"/>
          <w:b/>
        </w:rPr>
        <w:t xml:space="preserve">para </w:t>
      </w:r>
      <w:r w:rsidR="00CB59E0" w:rsidRPr="003565EB">
        <w:rPr>
          <w:rFonts w:ascii="Palatino Linotype" w:hAnsi="Palatino Linotype" w:cs="Arial"/>
          <w:b/>
        </w:rPr>
        <w:t>clasificar la información,</w:t>
      </w:r>
      <w:r w:rsidRPr="003565EB">
        <w:rPr>
          <w:rFonts w:ascii="Palatino Linotype" w:hAnsi="Palatino Linotype" w:cs="Arial"/>
          <w:b/>
        </w:rPr>
        <w:t xml:space="preserve"> los Sujetos Obligados deben precisar las razones objetivas por las que la apertura de la información generaría una afectación;</w:t>
      </w:r>
      <w:r w:rsidRPr="003565EB">
        <w:rPr>
          <w:rFonts w:ascii="Palatino Linotype" w:hAnsi="Palatino Linotype" w:cs="Arial"/>
        </w:rPr>
        <w:t xml:space="preserve"> asimismo, es claro que los mismos deben aplicar de manera restrictiva y limitada las hipótesis de clasificación y </w:t>
      </w:r>
      <w:r w:rsidRPr="003565EB">
        <w:rPr>
          <w:rFonts w:ascii="Palatino Linotype" w:hAnsi="Palatino Linotype" w:cs="Arial"/>
          <w:b/>
        </w:rPr>
        <w:t>no hacerlas valer de manera general.</w:t>
      </w:r>
      <w:r w:rsidRPr="003565EB">
        <w:rPr>
          <w:rFonts w:ascii="Palatino Linotype" w:hAnsi="Palatino Linotype" w:cs="Arial"/>
        </w:rPr>
        <w:t xml:space="preserve"> </w:t>
      </w:r>
    </w:p>
    <w:p w:rsidR="00C648CC" w:rsidRPr="003565EB" w:rsidRDefault="00C648CC" w:rsidP="00311FE5">
      <w:pPr>
        <w:spacing w:before="240" w:after="240" w:line="360" w:lineRule="auto"/>
        <w:ind w:right="51"/>
        <w:jc w:val="both"/>
        <w:rPr>
          <w:rFonts w:ascii="Palatino Linotype" w:hAnsi="Palatino Linotype" w:cs="Arial"/>
        </w:rPr>
      </w:pPr>
      <w:r w:rsidRPr="003565EB">
        <w:rPr>
          <w:rFonts w:ascii="Palatino Linotype" w:hAnsi="Palatino Linotype" w:cs="Arial"/>
        </w:rPr>
        <w:t xml:space="preserve">Por lo tanto, es claro que </w:t>
      </w:r>
      <w:r w:rsidRPr="003565EB">
        <w:rPr>
          <w:rFonts w:ascii="Palatino Linotype" w:hAnsi="Palatino Linotype" w:cs="Arial"/>
          <w:b/>
        </w:rPr>
        <w:t xml:space="preserve">EL SUJETO OBLIGADO </w:t>
      </w:r>
      <w:r w:rsidRPr="003565EB">
        <w:rPr>
          <w:rFonts w:ascii="Palatino Linotype" w:hAnsi="Palatino Linotype" w:cs="Arial"/>
        </w:rPr>
        <w:t xml:space="preserve">estaba en posibilidad de entregar la información en versión pública de conformidad con los artículos 4, párrafo segundo, 12, 18 y 24 de la Ley de Transparencia y Acceso a la Información Pública del Estado de México y Municipios. </w:t>
      </w:r>
    </w:p>
    <w:p w:rsidR="00CB59E0" w:rsidRPr="003565EB" w:rsidRDefault="00CB59E0" w:rsidP="00CB59E0">
      <w:pPr>
        <w:spacing w:line="360" w:lineRule="auto"/>
        <w:jc w:val="both"/>
        <w:rPr>
          <w:rFonts w:ascii="Palatino Linotype" w:eastAsiaTheme="minorEastAsia" w:hAnsi="Palatino Linotype" w:cs="Arial"/>
          <w:b/>
          <w:lang w:val="es-ES_tradnl"/>
        </w:rPr>
      </w:pPr>
      <w:r w:rsidRPr="003565EB">
        <w:rPr>
          <w:rFonts w:ascii="Palatino Linotype" w:hAnsi="Palatino Linotype" w:cs="Arial"/>
          <w:lang w:val="es-ES_tradnl"/>
        </w:rPr>
        <w:t xml:space="preserve">Aunado a lo anterior, es importante señalar que para la elaboración de las versiones públicas </w:t>
      </w:r>
      <w:r w:rsidRPr="003565EB">
        <w:rPr>
          <w:rFonts w:ascii="Palatino Linotype" w:hAnsi="Palatino Linotype" w:cs="Arial"/>
          <w:b/>
          <w:lang w:val="es-ES_tradnl"/>
        </w:rPr>
        <w:t xml:space="preserve">EL SUJETO OBLIGADO </w:t>
      </w:r>
      <w:r w:rsidRPr="003565EB">
        <w:rPr>
          <w:rFonts w:ascii="Palatino Linotype" w:hAnsi="Palatino Linotype" w:cs="Arial"/>
          <w:lang w:val="es-ES_tradnl"/>
        </w:rPr>
        <w:t>debe cumplir con las formalidades que la Ley impone, en términos de los numerales 3, fracción XLV,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CB59E0" w:rsidRPr="003565EB" w:rsidRDefault="00CB59E0" w:rsidP="00CB59E0">
      <w:pPr>
        <w:jc w:val="both"/>
        <w:rPr>
          <w:rFonts w:ascii="Palatino Linotype" w:hAnsi="Palatino Linotype" w:cs="Arial"/>
          <w:lang w:val="es-ES_tradnl"/>
        </w:rPr>
      </w:pP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t>“</w:t>
      </w:r>
      <w:r w:rsidRPr="003565EB">
        <w:rPr>
          <w:rFonts w:ascii="Palatino Linotype" w:hAnsi="Palatino Linotype" w:cs="Arial"/>
          <w:b/>
          <w:i/>
          <w:sz w:val="22"/>
          <w:szCs w:val="22"/>
          <w:lang w:eastAsia="es-MX"/>
        </w:rPr>
        <w:t>Artículo 3.</w:t>
      </w:r>
      <w:r w:rsidRPr="003565EB">
        <w:rPr>
          <w:rFonts w:ascii="Palatino Linotype" w:hAnsi="Palatino Linotype" w:cs="Arial"/>
          <w:i/>
          <w:sz w:val="22"/>
          <w:szCs w:val="22"/>
          <w:lang w:eastAsia="es-MX"/>
        </w:rPr>
        <w:t xml:space="preserve"> Para los efectos de la presente Ley se entenderá por:</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t>…</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b/>
          <w:i/>
          <w:sz w:val="22"/>
          <w:szCs w:val="22"/>
          <w:lang w:eastAsia="es-MX"/>
        </w:rPr>
        <w:t>XLV</w:t>
      </w:r>
      <w:r w:rsidRPr="003565EB">
        <w:rPr>
          <w:rFonts w:ascii="Palatino Linotype" w:hAnsi="Palatino Linotype" w:cs="Arial"/>
          <w:i/>
          <w:sz w:val="22"/>
          <w:szCs w:val="22"/>
          <w:lang w:eastAsia="es-MX"/>
        </w:rPr>
        <w:t xml:space="preserve">. </w:t>
      </w:r>
      <w:r w:rsidRPr="003565EB">
        <w:rPr>
          <w:rFonts w:ascii="Palatino Linotype" w:hAnsi="Palatino Linotype" w:cs="Arial"/>
          <w:b/>
          <w:i/>
          <w:sz w:val="22"/>
          <w:szCs w:val="22"/>
          <w:lang w:eastAsia="es-MX"/>
        </w:rPr>
        <w:t>Versión pública:</w:t>
      </w:r>
      <w:r w:rsidRPr="003565EB">
        <w:rPr>
          <w:rFonts w:ascii="Palatino Linotype" w:hAnsi="Palatino Linotype" w:cs="Arial"/>
          <w:i/>
          <w:sz w:val="22"/>
          <w:szCs w:val="22"/>
          <w:lang w:eastAsia="es-MX"/>
        </w:rPr>
        <w:t xml:space="preserve"> Documento en el que se elimine, suprime o borra la información clasificada como reservada o confidencial para permitir su acceso.</w:t>
      </w:r>
    </w:p>
    <w:p w:rsidR="00CB59E0" w:rsidRPr="003565EB" w:rsidRDefault="00CB59E0" w:rsidP="00CB59E0">
      <w:pPr>
        <w:ind w:left="851" w:right="902"/>
        <w:jc w:val="both"/>
        <w:rPr>
          <w:rFonts w:ascii="Palatino Linotype" w:hAnsi="Palatino Linotype" w:cs="Arial"/>
          <w:i/>
          <w:sz w:val="22"/>
          <w:szCs w:val="22"/>
          <w:lang w:eastAsia="es-MX"/>
        </w:rPr>
      </w:pP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b/>
          <w:i/>
          <w:sz w:val="22"/>
          <w:szCs w:val="22"/>
          <w:lang w:eastAsia="es-MX"/>
        </w:rPr>
        <w:t xml:space="preserve">Artículo 49. </w:t>
      </w:r>
      <w:r w:rsidRPr="003565EB">
        <w:rPr>
          <w:rFonts w:ascii="Palatino Linotype" w:hAnsi="Palatino Linotype" w:cs="Arial"/>
          <w:i/>
          <w:sz w:val="22"/>
          <w:szCs w:val="22"/>
          <w:lang w:eastAsia="es-MX"/>
        </w:rPr>
        <w:t>Los Comités de Transparencia tendrán las siguientes atribuciones:</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t>…</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b/>
          <w:i/>
          <w:sz w:val="22"/>
          <w:szCs w:val="22"/>
          <w:lang w:eastAsia="es-MX"/>
        </w:rPr>
        <w:t>VIII.</w:t>
      </w:r>
      <w:r w:rsidRPr="003565EB">
        <w:rPr>
          <w:rFonts w:ascii="Palatino Linotype" w:hAnsi="Palatino Linotype" w:cs="Arial"/>
          <w:i/>
          <w:sz w:val="22"/>
          <w:szCs w:val="22"/>
          <w:lang w:eastAsia="es-MX"/>
        </w:rPr>
        <w:t xml:space="preserve"> Aprobar, modificar o revocar la clasificación de la información;”(Sic)</w:t>
      </w:r>
    </w:p>
    <w:p w:rsidR="00CB59E0" w:rsidRPr="003565EB" w:rsidRDefault="00CB59E0" w:rsidP="00CB59E0">
      <w:pPr>
        <w:ind w:left="851" w:right="902"/>
        <w:jc w:val="both"/>
        <w:rPr>
          <w:rFonts w:ascii="Palatino Linotype" w:hAnsi="Palatino Linotype" w:cs="Arial"/>
          <w:b/>
          <w:i/>
          <w:sz w:val="22"/>
          <w:szCs w:val="22"/>
          <w:lang w:eastAsia="es-MX"/>
        </w:rPr>
      </w:pP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sz w:val="22"/>
          <w:szCs w:val="22"/>
          <w:lang w:eastAsia="es-MX"/>
        </w:rPr>
        <w:t>“</w:t>
      </w:r>
      <w:r w:rsidRPr="003565EB">
        <w:rPr>
          <w:rFonts w:ascii="Palatino Linotype" w:hAnsi="Palatino Linotype" w:cs="Arial"/>
          <w:b/>
          <w:i/>
          <w:sz w:val="22"/>
          <w:szCs w:val="22"/>
          <w:lang w:eastAsia="es-MX"/>
        </w:rPr>
        <w:t>Artículo 132.</w:t>
      </w:r>
      <w:r w:rsidRPr="003565EB">
        <w:rPr>
          <w:rFonts w:ascii="Palatino Linotype" w:hAnsi="Palatino Linotype" w:cs="Arial"/>
          <w:i/>
          <w:sz w:val="22"/>
          <w:szCs w:val="22"/>
          <w:lang w:eastAsia="es-MX"/>
        </w:rPr>
        <w:t xml:space="preserve"> La clasificación de la información se llevará a cabo en el momento en que:</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b/>
          <w:i/>
          <w:sz w:val="22"/>
          <w:szCs w:val="22"/>
          <w:lang w:eastAsia="es-MX"/>
        </w:rPr>
        <w:t>I.</w:t>
      </w:r>
      <w:r w:rsidRPr="003565EB">
        <w:rPr>
          <w:rFonts w:ascii="Palatino Linotype" w:hAnsi="Palatino Linotype" w:cs="Arial"/>
          <w:i/>
          <w:sz w:val="22"/>
          <w:szCs w:val="22"/>
          <w:lang w:eastAsia="es-MX"/>
        </w:rPr>
        <w:t xml:space="preserve"> Se reciba una solicitud de acceso a la información;</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b/>
          <w:i/>
          <w:sz w:val="22"/>
          <w:szCs w:val="22"/>
          <w:lang w:eastAsia="es-MX"/>
        </w:rPr>
        <w:t>II.</w:t>
      </w:r>
      <w:r w:rsidRPr="003565EB">
        <w:rPr>
          <w:rFonts w:ascii="Palatino Linotype" w:hAnsi="Palatino Linotype" w:cs="Arial"/>
          <w:i/>
          <w:sz w:val="22"/>
          <w:szCs w:val="22"/>
          <w:lang w:eastAsia="es-MX"/>
        </w:rPr>
        <w:t xml:space="preserve"> Se determine mediante resolución de autoridad competente; o</w:t>
      </w:r>
    </w:p>
    <w:p w:rsidR="00CB59E0" w:rsidRPr="003565EB" w:rsidRDefault="00CB59E0" w:rsidP="00CB59E0">
      <w:pPr>
        <w:ind w:left="851" w:right="902"/>
        <w:jc w:val="both"/>
        <w:rPr>
          <w:rFonts w:ascii="Palatino Linotype" w:hAnsi="Palatino Linotype" w:cs="Arial"/>
          <w:b/>
          <w:i/>
          <w:sz w:val="22"/>
          <w:szCs w:val="22"/>
          <w:lang w:eastAsia="es-MX"/>
        </w:rPr>
      </w:pPr>
      <w:r w:rsidRPr="003565EB">
        <w:rPr>
          <w:rFonts w:ascii="Palatino Linotype" w:hAnsi="Palatino Linotype" w:cs="Arial"/>
          <w:i/>
          <w:sz w:val="22"/>
          <w:szCs w:val="22"/>
          <w:lang w:eastAsia="es-MX"/>
        </w:rPr>
        <w:t>III. Se generen versiones públicas para dar cumplimiento a las obligaciones de transparencia previstas en esta Ley.</w:t>
      </w:r>
      <w:r w:rsidRPr="003565EB">
        <w:rPr>
          <w:rFonts w:ascii="Palatino Linotype" w:hAnsi="Palatino Linotype" w:cs="Arial"/>
          <w:sz w:val="22"/>
          <w:szCs w:val="22"/>
          <w:lang w:eastAsia="es-MX"/>
        </w:rPr>
        <w:t xml:space="preserve">” </w:t>
      </w:r>
      <w:r w:rsidRPr="003565EB">
        <w:rPr>
          <w:rFonts w:ascii="Palatino Linotype" w:hAnsi="Palatino Linotype" w:cs="Arial"/>
          <w:i/>
          <w:sz w:val="22"/>
          <w:szCs w:val="22"/>
          <w:lang w:eastAsia="es-MX"/>
        </w:rPr>
        <w:t>(Sic)</w:t>
      </w:r>
    </w:p>
    <w:p w:rsidR="00CB59E0" w:rsidRPr="003565EB" w:rsidRDefault="00CB59E0" w:rsidP="00CB59E0">
      <w:pPr>
        <w:ind w:left="851" w:right="902"/>
        <w:jc w:val="both"/>
        <w:rPr>
          <w:rFonts w:ascii="Palatino Linotype" w:hAnsi="Palatino Linotype" w:cs="Arial"/>
          <w:b/>
          <w:i/>
          <w:sz w:val="22"/>
          <w:szCs w:val="22"/>
          <w:lang w:eastAsia="es-MX"/>
        </w:rPr>
      </w:pP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t>“</w:t>
      </w:r>
      <w:r w:rsidRPr="003565EB">
        <w:rPr>
          <w:rFonts w:ascii="Palatino Linotype" w:hAnsi="Palatino Linotype" w:cs="Arial"/>
          <w:b/>
          <w:i/>
          <w:sz w:val="22"/>
          <w:szCs w:val="22"/>
          <w:lang w:eastAsia="es-MX"/>
        </w:rPr>
        <w:t>Segundo.-</w:t>
      </w:r>
      <w:r w:rsidRPr="003565EB">
        <w:rPr>
          <w:rFonts w:ascii="Palatino Linotype" w:hAnsi="Palatino Linotype" w:cs="Arial"/>
          <w:i/>
          <w:sz w:val="22"/>
          <w:szCs w:val="22"/>
          <w:lang w:eastAsia="es-MX"/>
        </w:rPr>
        <w:t xml:space="preserve"> Para efectos de los presentes Lineamientos Generales, se entenderá por:</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b/>
          <w:i/>
          <w:sz w:val="22"/>
          <w:szCs w:val="22"/>
          <w:lang w:eastAsia="es-MX"/>
        </w:rPr>
        <w:t>XVIII.</w:t>
      </w:r>
      <w:r w:rsidRPr="003565EB">
        <w:rPr>
          <w:rFonts w:ascii="Palatino Linotype" w:hAnsi="Palatino Linotype" w:cs="Arial"/>
          <w:i/>
          <w:sz w:val="22"/>
          <w:szCs w:val="22"/>
          <w:lang w:eastAsia="es-MX"/>
        </w:rPr>
        <w:t xml:space="preserve"> </w:t>
      </w:r>
      <w:r w:rsidRPr="003565EB">
        <w:rPr>
          <w:rFonts w:ascii="Palatino Linotype" w:hAnsi="Palatino Linotype" w:cs="Arial"/>
          <w:b/>
          <w:i/>
          <w:sz w:val="22"/>
          <w:szCs w:val="22"/>
          <w:lang w:eastAsia="es-MX"/>
        </w:rPr>
        <w:t>Versión pública:</w:t>
      </w:r>
      <w:r w:rsidRPr="003565EB">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b/>
          <w:i/>
          <w:sz w:val="22"/>
          <w:szCs w:val="22"/>
          <w:lang w:eastAsia="es-MX"/>
        </w:rPr>
        <w:t>Cuarto.</w:t>
      </w:r>
      <w:r w:rsidRPr="003565EB">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b/>
          <w:i/>
          <w:sz w:val="22"/>
          <w:szCs w:val="22"/>
          <w:lang w:eastAsia="es-MX"/>
        </w:rPr>
        <w:t>Quinto.</w:t>
      </w:r>
      <w:r w:rsidRPr="003565EB">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b/>
          <w:i/>
          <w:sz w:val="22"/>
          <w:szCs w:val="22"/>
          <w:lang w:eastAsia="es-MX"/>
        </w:rPr>
        <w:t>Sexto.</w:t>
      </w:r>
      <w:r w:rsidRPr="003565EB">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b/>
          <w:i/>
          <w:sz w:val="22"/>
          <w:szCs w:val="22"/>
          <w:lang w:eastAsia="es-MX"/>
        </w:rPr>
        <w:t>Séptimo.</w:t>
      </w:r>
      <w:r w:rsidRPr="003565EB">
        <w:rPr>
          <w:rFonts w:ascii="Palatino Linotype" w:hAnsi="Palatino Linotype" w:cs="Arial"/>
          <w:i/>
          <w:sz w:val="22"/>
          <w:szCs w:val="22"/>
          <w:lang w:eastAsia="es-MX"/>
        </w:rPr>
        <w:t xml:space="preserve"> La clasificación de la información se llevará a cabo en el momento en que:</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b/>
          <w:i/>
          <w:sz w:val="22"/>
          <w:szCs w:val="22"/>
          <w:lang w:eastAsia="es-MX"/>
        </w:rPr>
        <w:t>I.</w:t>
      </w:r>
      <w:r w:rsidRPr="003565EB">
        <w:rPr>
          <w:rFonts w:ascii="Palatino Linotype" w:hAnsi="Palatino Linotype" w:cs="Arial"/>
          <w:i/>
          <w:sz w:val="22"/>
          <w:szCs w:val="22"/>
          <w:lang w:eastAsia="es-MX"/>
        </w:rPr>
        <w:t xml:space="preserve"> Se reciba una solicitud de acceso a la información;</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b/>
          <w:i/>
          <w:sz w:val="22"/>
          <w:szCs w:val="22"/>
          <w:lang w:eastAsia="es-MX"/>
        </w:rPr>
        <w:t>II.</w:t>
      </w:r>
      <w:r w:rsidRPr="003565EB">
        <w:rPr>
          <w:rFonts w:ascii="Palatino Linotype" w:hAnsi="Palatino Linotype" w:cs="Arial"/>
          <w:i/>
          <w:sz w:val="22"/>
          <w:szCs w:val="22"/>
          <w:lang w:eastAsia="es-MX"/>
        </w:rPr>
        <w:t xml:space="preserve"> Se determine mediante resolución de autoridad competente, o</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b/>
          <w:i/>
          <w:sz w:val="22"/>
          <w:szCs w:val="22"/>
          <w:lang w:eastAsia="es-MX"/>
        </w:rPr>
        <w:t>III.</w:t>
      </w:r>
      <w:r w:rsidRPr="003565EB">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lastRenderedPageBreak/>
        <w:t>Los titulares de las áreas deberán revisar la clasificación al momento de la recepción de una solicitud de acceso a la información, para verificar si encuadra en una causal de reserva o de confidencialidad.</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b/>
          <w:i/>
          <w:sz w:val="22"/>
          <w:szCs w:val="22"/>
          <w:lang w:eastAsia="es-MX"/>
        </w:rPr>
        <w:t>Octavo.</w:t>
      </w:r>
      <w:r w:rsidRPr="003565EB">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b/>
          <w:i/>
          <w:sz w:val="22"/>
          <w:szCs w:val="22"/>
          <w:lang w:eastAsia="es-MX"/>
        </w:rPr>
        <w:t>Noveno.</w:t>
      </w:r>
      <w:r w:rsidRPr="003565E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b/>
          <w:i/>
          <w:sz w:val="22"/>
          <w:szCs w:val="22"/>
          <w:lang w:eastAsia="es-MX"/>
        </w:rPr>
        <w:t>Décimo.</w:t>
      </w:r>
      <w:r w:rsidRPr="003565EB">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B59E0" w:rsidRPr="003565EB" w:rsidRDefault="00CB59E0" w:rsidP="00CB59E0">
      <w:pPr>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CB59E0" w:rsidRPr="003565EB" w:rsidRDefault="00CB59E0" w:rsidP="00CB59E0">
      <w:pPr>
        <w:ind w:left="851" w:right="902"/>
        <w:jc w:val="both"/>
        <w:rPr>
          <w:rFonts w:ascii="Palatino Linotype" w:hAnsi="Palatino Linotype" w:cs="Arial"/>
          <w:i/>
          <w:sz w:val="22"/>
          <w:szCs w:val="22"/>
        </w:rPr>
      </w:pPr>
      <w:r w:rsidRPr="003565EB">
        <w:rPr>
          <w:rFonts w:ascii="Palatino Linotype" w:hAnsi="Palatino Linotype" w:cs="Arial"/>
          <w:b/>
          <w:i/>
          <w:sz w:val="22"/>
          <w:szCs w:val="22"/>
          <w:lang w:eastAsia="es-MX"/>
        </w:rPr>
        <w:t>Décimo primero.</w:t>
      </w:r>
      <w:r w:rsidRPr="003565E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565EB">
        <w:rPr>
          <w:rFonts w:ascii="Palatino Linotype" w:hAnsi="Palatino Linotype" w:cs="Arial"/>
          <w:b/>
          <w:i/>
          <w:sz w:val="22"/>
          <w:szCs w:val="22"/>
          <w:lang w:eastAsia="es-MX"/>
        </w:rPr>
        <w:t xml:space="preserve"> </w:t>
      </w:r>
      <w:r w:rsidRPr="003565EB">
        <w:rPr>
          <w:rFonts w:ascii="Palatino Linotype" w:hAnsi="Palatino Linotype" w:cs="Arial"/>
          <w:i/>
          <w:sz w:val="22"/>
          <w:szCs w:val="22"/>
        </w:rPr>
        <w:t>(Sic)</w:t>
      </w:r>
    </w:p>
    <w:p w:rsidR="00CB59E0" w:rsidRPr="003565EB" w:rsidRDefault="00CB59E0" w:rsidP="00CB59E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565EB">
        <w:rPr>
          <w:rFonts w:ascii="Palatino Linotype" w:hAnsi="Palatino Linotype" w:cs="Arial"/>
        </w:rPr>
        <w:t xml:space="preserve">En este contexto, el hecho de que la información pública solicitada contenga datos personales susceptibles de ser protegidos mediante su </w:t>
      </w:r>
      <w:r w:rsidRPr="003565EB">
        <w:rPr>
          <w:rFonts w:ascii="Palatino Linotype" w:hAnsi="Palatino Linotype" w:cs="Arial"/>
          <w:b/>
        </w:rPr>
        <w:t>versión pública</w:t>
      </w:r>
      <w:r w:rsidRPr="003565EB">
        <w:rPr>
          <w:rFonts w:ascii="Palatino Linotype" w:hAnsi="Palatino Linotype" w:cs="Arial"/>
        </w:rPr>
        <w:t xml:space="preserve">, ello no implica que esta </w:t>
      </w:r>
      <w:r w:rsidRPr="003565EB">
        <w:rPr>
          <w:rFonts w:ascii="Palatino Linotype" w:hAnsi="Palatino Linotype"/>
        </w:rPr>
        <w:t>circunstancia</w:t>
      </w:r>
      <w:r w:rsidRPr="003565EB">
        <w:rPr>
          <w:rFonts w:ascii="Palatino Linotype" w:hAnsi="Palatino Linotype" w:cs="Arial"/>
        </w:rPr>
        <w:t xml:space="preserve"> opere en </w:t>
      </w:r>
      <w:r w:rsidRPr="003565EB">
        <w:rPr>
          <w:rFonts w:ascii="Palatino Linotype" w:hAnsi="Palatino Linotype"/>
        </w:rPr>
        <w:t>automático</w:t>
      </w:r>
      <w:r w:rsidRPr="003565EB">
        <w:rPr>
          <w:rFonts w:ascii="Palatino Linotype" w:hAnsi="Palatino Linotype" w:cs="Arial"/>
        </w:rPr>
        <w:t xml:space="preserve">, sino que es necesario que el Comité de </w:t>
      </w:r>
      <w:r w:rsidRPr="003565EB">
        <w:rPr>
          <w:rFonts w:ascii="Palatino Linotype" w:hAnsi="Palatino Linotype" w:cs="Arial"/>
        </w:rPr>
        <w:lastRenderedPageBreak/>
        <w:t>Transparencia debidamente conformado por el</w:t>
      </w:r>
      <w:r w:rsidRPr="003565EB">
        <w:rPr>
          <w:rFonts w:ascii="Palatino Linotype" w:hAnsi="Palatino Linotype" w:cs="Arial"/>
          <w:b/>
          <w:color w:val="000000"/>
        </w:rPr>
        <w:t xml:space="preserve"> SUJETO OBLIGADO</w:t>
      </w:r>
      <w:r w:rsidRPr="003565EB">
        <w:rPr>
          <w:rFonts w:ascii="Palatino Linotype" w:hAnsi="Palatino Linotype" w:cs="Arial"/>
          <w:b/>
        </w:rPr>
        <w:t xml:space="preserve"> </w:t>
      </w:r>
      <w:r w:rsidRPr="003565EB">
        <w:rPr>
          <w:rFonts w:ascii="Palatino Linotype" w:hAnsi="Palatino Linotype" w:cs="Arial"/>
        </w:rPr>
        <w:t>emita el Acuerdo de Clasificación correspondiente.</w:t>
      </w:r>
    </w:p>
    <w:p w:rsidR="00CB59E0" w:rsidRPr="003565EB" w:rsidRDefault="00CB59E0" w:rsidP="00CB59E0">
      <w:pPr>
        <w:spacing w:line="360" w:lineRule="auto"/>
        <w:jc w:val="both"/>
        <w:rPr>
          <w:rFonts w:ascii="Palatino Linotype" w:hAnsi="Palatino Linotype" w:cs="Arial"/>
        </w:rPr>
      </w:pPr>
      <w:r w:rsidRPr="003565EB">
        <w:rPr>
          <w:rFonts w:ascii="Palatino Linotype" w:eastAsia="Arial Unicode MS" w:hAnsi="Palatino Linotype" w:cs="Arial"/>
        </w:rPr>
        <w:t>Por tanto, dicho Acuerdo debe</w:t>
      </w:r>
      <w:r w:rsidRPr="003565EB">
        <w:rPr>
          <w:rFonts w:ascii="Palatino Linotype" w:hAnsi="Palatino Linotype" w:cs="Arial"/>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rsidR="00CB59E0" w:rsidRPr="003565EB" w:rsidRDefault="00CB59E0" w:rsidP="00CB59E0">
      <w:pPr>
        <w:ind w:left="851" w:right="901"/>
        <w:jc w:val="both"/>
        <w:rPr>
          <w:rFonts w:ascii="Palatino Linotype" w:hAnsi="Palatino Linotype" w:cs="Arial"/>
          <w:i/>
          <w:sz w:val="22"/>
          <w:szCs w:val="22"/>
        </w:rPr>
      </w:pPr>
      <w:r w:rsidRPr="003565EB">
        <w:rPr>
          <w:rFonts w:ascii="Palatino Linotype" w:hAnsi="Palatino Linotype" w:cs="Arial"/>
          <w:i/>
          <w:sz w:val="22"/>
          <w:szCs w:val="22"/>
          <w:lang w:val="es-ES" w:eastAsia="es-MX"/>
        </w:rPr>
        <w:t>“</w:t>
      </w:r>
      <w:r w:rsidRPr="003565EB">
        <w:rPr>
          <w:rFonts w:ascii="Palatino Linotype" w:hAnsi="Palatino Linotype" w:cs="Arial"/>
          <w:b/>
          <w:i/>
          <w:sz w:val="22"/>
          <w:szCs w:val="22"/>
          <w:lang w:val="es-ES" w:eastAsia="es-MX"/>
        </w:rPr>
        <w:t>Artículo 135.</w:t>
      </w:r>
      <w:r w:rsidRPr="003565EB">
        <w:rPr>
          <w:rFonts w:ascii="Palatino Linotype" w:hAnsi="Palatino Linotype" w:cs="Arial"/>
          <w:i/>
          <w:sz w:val="22"/>
          <w:szCs w:val="22"/>
          <w:lang w:val="es-ES" w:eastAsia="es-MX"/>
        </w:rPr>
        <w:t xml:space="preserve"> Los lin</w:t>
      </w:r>
      <w:r w:rsidRPr="003565EB">
        <w:rPr>
          <w:rFonts w:ascii="Palatino Linotype" w:hAnsi="Palatino Linotype" w:cs="Arial"/>
          <w:i/>
          <w:sz w:val="22"/>
          <w:szCs w:val="22"/>
        </w:rPr>
        <w:t>eamientos generales que se emitan al respecto en materia de clasificación de la información reservada y confidencial y, para la elaboración de versiones públicas, serán de observancia obligatoria para los sujetos obligados.</w:t>
      </w:r>
    </w:p>
    <w:p w:rsidR="00CB59E0" w:rsidRPr="003565EB" w:rsidRDefault="00CB59E0" w:rsidP="00CB59E0">
      <w:pPr>
        <w:ind w:left="851" w:right="901"/>
        <w:jc w:val="both"/>
        <w:rPr>
          <w:rFonts w:ascii="Palatino Linotype" w:hAnsi="Palatino Linotype" w:cs="Arial"/>
          <w:i/>
          <w:sz w:val="22"/>
          <w:szCs w:val="22"/>
        </w:rPr>
      </w:pPr>
      <w:r w:rsidRPr="003565EB">
        <w:rPr>
          <w:rFonts w:ascii="Palatino Linotype" w:hAnsi="Palatino Linotype" w:cs="Arial"/>
          <w:i/>
          <w:sz w:val="22"/>
          <w:szCs w:val="22"/>
        </w:rPr>
        <w:t>…” (Sic)</w:t>
      </w:r>
    </w:p>
    <w:p w:rsidR="00CB59E0" w:rsidRPr="003565EB" w:rsidRDefault="00CB59E0" w:rsidP="00675193">
      <w:pPr>
        <w:spacing w:before="100" w:beforeAutospacing="1" w:after="100" w:afterAutospacing="1" w:line="360" w:lineRule="auto"/>
        <w:jc w:val="both"/>
        <w:rPr>
          <w:rFonts w:ascii="Palatino Linotype" w:hAnsi="Palatino Linotype" w:cs="Arial"/>
        </w:rPr>
      </w:pPr>
      <w:r w:rsidRPr="003565EB">
        <w:rPr>
          <w:rFonts w:ascii="Palatino Linotype" w:hAnsi="Palatino Linotype" w:cs="Arial"/>
        </w:rPr>
        <w:t>Lineamientos Generales en Materia de Clasificación y Des</w:t>
      </w:r>
      <w:r w:rsidR="00C648CC" w:rsidRPr="003565EB">
        <w:rPr>
          <w:rFonts w:ascii="Palatino Linotype" w:hAnsi="Palatino Linotype" w:cs="Arial"/>
        </w:rPr>
        <w:t>clasificación de la información;</w:t>
      </w:r>
      <w:r w:rsidRPr="003565EB">
        <w:rPr>
          <w:rFonts w:ascii="Palatino Linotype" w:hAnsi="Palatino Linotype" w:cs="Arial"/>
        </w:rPr>
        <w:t xml:space="preserve"> así como</w:t>
      </w:r>
      <w:r w:rsidR="00C648CC" w:rsidRPr="003565EB">
        <w:rPr>
          <w:rFonts w:ascii="Palatino Linotype" w:hAnsi="Palatino Linotype" w:cs="Arial"/>
        </w:rPr>
        <w:t>,</w:t>
      </w:r>
      <w:r w:rsidRPr="003565EB">
        <w:rPr>
          <w:rFonts w:ascii="Palatino Linotype" w:hAnsi="Palatino Linotype" w:cs="Arial"/>
        </w:rPr>
        <w:t xml:space="preserve"> para la elaboración de Versiones Públicas.</w:t>
      </w:r>
    </w:p>
    <w:p w:rsidR="00CB59E0" w:rsidRPr="003565EB" w:rsidRDefault="00CB59E0" w:rsidP="00CB59E0">
      <w:pPr>
        <w:ind w:left="851" w:right="901"/>
        <w:jc w:val="both"/>
        <w:rPr>
          <w:rFonts w:ascii="Palatino Linotype" w:hAnsi="Palatino Linotype" w:cs="Arial"/>
          <w:i/>
          <w:sz w:val="22"/>
          <w:szCs w:val="22"/>
        </w:rPr>
      </w:pPr>
      <w:r w:rsidRPr="003565EB">
        <w:rPr>
          <w:rFonts w:ascii="Palatino Linotype" w:hAnsi="Palatino Linotype" w:cs="Arial"/>
          <w:sz w:val="22"/>
          <w:szCs w:val="22"/>
        </w:rPr>
        <w:t>“</w:t>
      </w:r>
      <w:r w:rsidRPr="003565EB">
        <w:rPr>
          <w:rFonts w:ascii="Palatino Linotype" w:hAnsi="Palatino Linotype" w:cs="Arial"/>
          <w:b/>
          <w:i/>
          <w:sz w:val="22"/>
          <w:szCs w:val="22"/>
        </w:rPr>
        <w:t>Octavo. Para fundar la clasificación de la información se debe señalar el artículo, fracción, inciso, párrafo</w:t>
      </w:r>
      <w:r w:rsidRPr="003565EB">
        <w:rPr>
          <w:rFonts w:ascii="Palatino Linotype" w:hAnsi="Palatino Linotype" w:cs="Arial"/>
          <w:i/>
          <w:sz w:val="22"/>
          <w:szCs w:val="22"/>
        </w:rPr>
        <w:t xml:space="preserve"> o numeral de la ley o tratado internacional suscrito por el Estado mexicano que </w:t>
      </w:r>
      <w:r w:rsidRPr="003565EB">
        <w:rPr>
          <w:rFonts w:ascii="Palatino Linotype" w:hAnsi="Palatino Linotype" w:cs="Arial"/>
          <w:b/>
          <w:i/>
          <w:sz w:val="22"/>
          <w:szCs w:val="22"/>
        </w:rPr>
        <w:t>expresamente</w:t>
      </w:r>
      <w:r w:rsidRPr="003565EB">
        <w:rPr>
          <w:rFonts w:ascii="Palatino Linotype" w:hAnsi="Palatino Linotype" w:cs="Arial"/>
          <w:i/>
          <w:sz w:val="22"/>
          <w:szCs w:val="22"/>
        </w:rPr>
        <w:t xml:space="preserve"> le otorga el carácter de reservada o confidencial.</w:t>
      </w:r>
    </w:p>
    <w:p w:rsidR="00CB59E0" w:rsidRPr="003565EB" w:rsidRDefault="00CB59E0" w:rsidP="00CB59E0">
      <w:pPr>
        <w:ind w:left="851" w:right="901"/>
        <w:jc w:val="both"/>
        <w:rPr>
          <w:rFonts w:ascii="Palatino Linotype" w:hAnsi="Palatino Linotype" w:cs="Arial"/>
          <w:i/>
          <w:sz w:val="22"/>
          <w:szCs w:val="22"/>
        </w:rPr>
      </w:pPr>
      <w:r w:rsidRPr="003565EB">
        <w:rPr>
          <w:rFonts w:ascii="Palatino Linotype" w:hAnsi="Palatino Linotype" w:cs="Arial"/>
          <w:i/>
          <w:sz w:val="22"/>
          <w:szCs w:val="22"/>
        </w:rPr>
        <w:t xml:space="preserve">Para motivar la clasificación se </w:t>
      </w:r>
      <w:r w:rsidRPr="003565EB">
        <w:rPr>
          <w:rFonts w:ascii="Palatino Linotype" w:hAnsi="Palatino Linotype" w:cs="Arial"/>
          <w:b/>
          <w:i/>
          <w:sz w:val="22"/>
          <w:szCs w:val="22"/>
        </w:rPr>
        <w:t>deberán señalar las razones o circunstancias especiales que lo llevaron a concluir que el caso particular se ajusta al supuesto previsto por la norma legal invocada</w:t>
      </w:r>
      <w:r w:rsidRPr="003565EB">
        <w:rPr>
          <w:rFonts w:ascii="Palatino Linotype" w:hAnsi="Palatino Linotype" w:cs="Arial"/>
          <w:i/>
          <w:sz w:val="22"/>
          <w:szCs w:val="22"/>
        </w:rPr>
        <w:t xml:space="preserve"> como fundamento.</w:t>
      </w:r>
    </w:p>
    <w:p w:rsidR="00CB59E0" w:rsidRPr="003565EB" w:rsidRDefault="00C648CC" w:rsidP="00CB59E0">
      <w:pPr>
        <w:ind w:left="851" w:right="901"/>
        <w:jc w:val="both"/>
        <w:rPr>
          <w:rFonts w:ascii="Palatino Linotype" w:hAnsi="Palatino Linotype" w:cs="Arial"/>
          <w:i/>
          <w:sz w:val="22"/>
          <w:szCs w:val="22"/>
        </w:rPr>
      </w:pPr>
      <w:r w:rsidRPr="003565EB">
        <w:rPr>
          <w:rFonts w:ascii="Palatino Linotype" w:hAnsi="Palatino Linotype" w:cs="Arial"/>
          <w:i/>
          <w:sz w:val="22"/>
          <w:szCs w:val="22"/>
        </w:rPr>
        <w:t>…”</w:t>
      </w:r>
    </w:p>
    <w:p w:rsidR="00CB59E0" w:rsidRPr="003565EB" w:rsidRDefault="00CB59E0" w:rsidP="00CB59E0">
      <w:pPr>
        <w:ind w:left="851" w:right="901"/>
        <w:jc w:val="both"/>
        <w:rPr>
          <w:rFonts w:ascii="Palatino Linotype" w:hAnsi="Palatino Linotype" w:cs="Arial"/>
          <w:i/>
          <w:sz w:val="22"/>
          <w:szCs w:val="22"/>
        </w:rPr>
      </w:pPr>
      <w:r w:rsidRPr="003565EB">
        <w:rPr>
          <w:rFonts w:ascii="Palatino Linotype" w:hAnsi="Palatino Linotype" w:cs="Arial"/>
          <w:i/>
          <w:sz w:val="22"/>
          <w:szCs w:val="22"/>
        </w:rPr>
        <w:t xml:space="preserve">(Énfasis añadido)  </w:t>
      </w:r>
    </w:p>
    <w:p w:rsidR="00CB59E0" w:rsidRPr="003565EB" w:rsidRDefault="00CB59E0" w:rsidP="00CB59E0">
      <w:pPr>
        <w:autoSpaceDE w:val="0"/>
        <w:autoSpaceDN w:val="0"/>
        <w:adjustRightInd w:val="0"/>
        <w:spacing w:before="100" w:beforeAutospacing="1" w:after="100" w:afterAutospacing="1" w:line="360" w:lineRule="auto"/>
        <w:jc w:val="both"/>
        <w:rPr>
          <w:rFonts w:ascii="Palatino Linotype" w:eastAsia="Arial Unicode MS" w:hAnsi="Palatino Linotype" w:cs="Arial"/>
          <w:lang w:val="es-ES"/>
        </w:rPr>
      </w:pPr>
      <w:r w:rsidRPr="003565EB">
        <w:rPr>
          <w:rFonts w:ascii="Palatino Linotype" w:eastAsia="Arial Unicode MS" w:hAnsi="Palatino Linotype" w:cs="Arial"/>
          <w:lang w:val="es-ES"/>
        </w:rPr>
        <w:t xml:space="preserve">Concluyendo entonces que, toda la información relativa a una persona física que la pueda hacer identificada o identificable constituye un dato personal, en términos del artículo 4, fracción XI, de la Ley de Protección de Datos Personales en Posesión de </w:t>
      </w:r>
      <w:r w:rsidRPr="003565EB">
        <w:rPr>
          <w:rFonts w:ascii="Palatino Linotype" w:eastAsia="Arial Unicode MS" w:hAnsi="Palatino Linotype" w:cs="Arial"/>
          <w:lang w:val="es-ES"/>
        </w:rPr>
        <w:lastRenderedPageBreak/>
        <w:t xml:space="preserve">Sujetos Obligados del Estado de México y Municipios; por consiguiente, se trata de información confidencial, que debe ser protegida por </w:t>
      </w:r>
      <w:r w:rsidRPr="003565EB">
        <w:rPr>
          <w:rFonts w:ascii="Palatino Linotype" w:eastAsia="Arial Unicode MS" w:hAnsi="Palatino Linotype" w:cs="Arial"/>
          <w:b/>
          <w:lang w:eastAsia="es-MX"/>
        </w:rPr>
        <w:t>EL SUJETO OBLIGADO</w:t>
      </w:r>
      <w:r w:rsidRPr="003565EB">
        <w:rPr>
          <w:rFonts w:ascii="Palatino Linotype" w:eastAsia="Arial Unicode MS" w:hAnsi="Palatino Linotype" w:cs="Arial"/>
          <w:lang w:val="es-ES"/>
        </w:rPr>
        <w:t>.</w:t>
      </w:r>
    </w:p>
    <w:p w:rsidR="00CB59E0" w:rsidRPr="003565EB" w:rsidRDefault="00CB59E0" w:rsidP="00CB59E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3565EB">
        <w:rPr>
          <w:rFonts w:ascii="Palatino Linotype" w:hAnsi="Palatino Linotype" w:cs="Arial"/>
          <w:lang w:val="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CB59E0" w:rsidRPr="003565EB" w:rsidRDefault="00CB59E0" w:rsidP="00CB59E0">
      <w:pPr>
        <w:ind w:left="851" w:right="901"/>
        <w:jc w:val="both"/>
        <w:rPr>
          <w:rFonts w:ascii="Palatino Linotype" w:hAnsi="Palatino Linotype" w:cs="Arial"/>
          <w:b/>
          <w:i/>
          <w:sz w:val="22"/>
          <w:lang w:eastAsia="es-MX"/>
        </w:rPr>
      </w:pPr>
      <w:r w:rsidRPr="003565EB">
        <w:rPr>
          <w:rFonts w:ascii="Palatino Linotype" w:hAnsi="Palatino Linotype" w:cs="Arial"/>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3565EB">
        <w:rPr>
          <w:rFonts w:ascii="Palatino Linotype" w:hAnsi="Palatino Linotype" w:cs="Arial"/>
          <w:i/>
          <w:sz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 (Sic)</w:t>
      </w:r>
    </w:p>
    <w:p w:rsidR="00CB59E0" w:rsidRPr="003565EB" w:rsidRDefault="00CB59E0" w:rsidP="00CB59E0">
      <w:pPr>
        <w:spacing w:before="100" w:beforeAutospacing="1" w:after="100" w:afterAutospacing="1" w:line="360" w:lineRule="auto"/>
        <w:jc w:val="both"/>
        <w:rPr>
          <w:rFonts w:ascii="Palatino Linotype" w:hAnsi="Palatino Linotype" w:cs="Arial"/>
          <w:lang w:eastAsia="es-MX"/>
        </w:rPr>
      </w:pPr>
      <w:r w:rsidRPr="003565EB">
        <w:rPr>
          <w:rFonts w:ascii="Palatino Linotype" w:hAnsi="Palatino Linotype" w:cs="Arial"/>
          <w:lang w:val="es-ES_tradnl"/>
        </w:rPr>
        <w:t xml:space="preserve">Por ende, en el presente caso, </w:t>
      </w:r>
      <w:r w:rsidRPr="003565EB">
        <w:rPr>
          <w:rFonts w:ascii="Palatino Linotype" w:hAnsi="Palatino Linotype" w:cs="Arial"/>
          <w:b/>
          <w:lang w:val="es-ES_tradnl"/>
        </w:rPr>
        <w:t>EL SUJETO OBLIGADO</w:t>
      </w:r>
      <w:r w:rsidRPr="003565EB">
        <w:rPr>
          <w:rFonts w:ascii="Palatino Linotype" w:hAnsi="Palatino Linotype" w:cs="Arial"/>
          <w:lang w:val="es-ES_tradnl"/>
        </w:rPr>
        <w:t xml:space="preserve"> debe </w:t>
      </w:r>
      <w:r w:rsidRPr="003565EB">
        <w:rPr>
          <w:rFonts w:ascii="Palatino Linotype" w:hAnsi="Palatino Linotype" w:cs="Arial"/>
          <w:lang w:eastAsia="es-MX"/>
        </w:rPr>
        <w:t xml:space="preserve">atender las disposiciones en materia de protección de datos, a fin de salvaguardar los datos de particulares y emitir el debido Acuerdo que sustente la clasificación que se genere, ya que ésta no se da por el simple mandato de la Ley, sino que es necesario que </w:t>
      </w:r>
      <w:r w:rsidRPr="003565EB">
        <w:rPr>
          <w:rFonts w:ascii="Palatino Linotype" w:hAnsi="Palatino Linotype" w:cs="Arial"/>
          <w:b/>
          <w:lang w:eastAsia="es-MX"/>
        </w:rPr>
        <w:t>EL SUJETO OBLIGADO</w:t>
      </w:r>
      <w:r w:rsidRPr="003565EB">
        <w:rPr>
          <w:rFonts w:ascii="Palatino Linotype" w:hAnsi="Palatino Linotype" w:cs="Arial"/>
          <w:lang w:eastAsia="es-MX"/>
        </w:rPr>
        <w:t xml:space="preserve"> </w:t>
      </w:r>
      <w:r w:rsidRPr="003565EB">
        <w:rPr>
          <w:rFonts w:ascii="Palatino Linotype" w:hAnsi="Palatino Linotype" w:cs="Arial"/>
          <w:lang w:eastAsia="es-MX"/>
        </w:rPr>
        <w:lastRenderedPageBreak/>
        <w:t xml:space="preserve">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3565EB">
        <w:rPr>
          <w:rFonts w:ascii="Palatino Linotype" w:hAnsi="Palatino Linotype" w:cs="Arial"/>
          <w:b/>
          <w:lang w:eastAsia="es-MX"/>
        </w:rPr>
        <w:t>SUJETO OBLIGADO</w:t>
      </w:r>
      <w:r w:rsidRPr="003565EB">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CB59E0" w:rsidRPr="003565EB" w:rsidRDefault="00CB59E0" w:rsidP="00675193">
      <w:pPr>
        <w:spacing w:before="100" w:beforeAutospacing="1" w:after="100" w:afterAutospacing="1" w:line="360" w:lineRule="auto"/>
        <w:jc w:val="both"/>
        <w:rPr>
          <w:rFonts w:ascii="Palatino Linotype" w:hAnsi="Palatino Linotype" w:cs="Arial"/>
        </w:rPr>
      </w:pPr>
      <w:r w:rsidRPr="003565EB">
        <w:rPr>
          <w:rFonts w:ascii="Palatino Linotype" w:eastAsia="Calibri" w:hAnsi="Palatino Linotype"/>
        </w:rPr>
        <w:t xml:space="preserve">Así, es que </w:t>
      </w:r>
      <w:r w:rsidRPr="003565EB">
        <w:rPr>
          <w:rFonts w:ascii="Palatino Linotype" w:eastAsia="Calibri" w:hAnsi="Palatino Linotype"/>
          <w:b/>
        </w:rPr>
        <w:t>EL SUJETO OBLIGADO</w:t>
      </w:r>
      <w:r w:rsidRPr="003565EB">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w:t>
      </w:r>
      <w:r w:rsidR="00675193" w:rsidRPr="003565EB">
        <w:rPr>
          <w:rFonts w:ascii="Palatino Linotype" w:eastAsia="Calibri" w:hAnsi="Palatino Linotype"/>
        </w:rPr>
        <w:t>y que expresamente le otorga el c</w:t>
      </w:r>
      <w:r w:rsidRPr="003565EB">
        <w:rPr>
          <w:rFonts w:ascii="Palatino Linotype" w:eastAsia="Calibri" w:hAnsi="Palatino Linotype"/>
        </w:rPr>
        <w:t>arácter de confidencial, pues</w:t>
      </w:r>
      <w:r w:rsidRPr="003565EB">
        <w:rPr>
          <w:rFonts w:ascii="Palatino Linotype" w:hAnsi="Palatino Linotype" w:cs="Arial"/>
        </w:rPr>
        <w:t xml:space="preserve"> es claro que el mismo debe aplicar de manera restrictiva y limitada las hipótesis de clasificación y no hacerlas valer de manera general.</w:t>
      </w:r>
    </w:p>
    <w:p w:rsidR="00675193" w:rsidRPr="003565EB" w:rsidRDefault="00675193" w:rsidP="00675193">
      <w:pPr>
        <w:spacing w:before="100" w:beforeAutospacing="1" w:after="100" w:afterAutospacing="1" w:line="360" w:lineRule="auto"/>
        <w:jc w:val="both"/>
        <w:rPr>
          <w:rFonts w:ascii="Palatino Linotype" w:hAnsi="Palatino Linotype" w:cs="Arial"/>
        </w:rPr>
      </w:pPr>
      <w:r w:rsidRPr="003565EB">
        <w:rPr>
          <w:rFonts w:ascii="Palatino Linotype" w:hAnsi="Palatino Linotype" w:cs="Arial"/>
        </w:rPr>
        <w:t>Lo anterior, atiendo lo señalado en el artículo 149 de la Ley de Transparencia Local vigente, cuyo contenido es de la literalidad siguiente:</w:t>
      </w:r>
    </w:p>
    <w:p w:rsidR="00675193" w:rsidRPr="003565EB" w:rsidRDefault="00675193" w:rsidP="00675193">
      <w:pPr>
        <w:ind w:left="993" w:right="1041"/>
        <w:jc w:val="both"/>
        <w:rPr>
          <w:rFonts w:ascii="Palatino Linotype" w:hAnsi="Palatino Linotype"/>
          <w:i/>
          <w:sz w:val="22"/>
          <w:szCs w:val="22"/>
        </w:rPr>
      </w:pPr>
      <w:r w:rsidRPr="003565EB">
        <w:rPr>
          <w:rFonts w:ascii="Palatino Linotype" w:hAnsi="Palatino Linotype"/>
          <w:i/>
          <w:color w:val="000000"/>
          <w:sz w:val="22"/>
          <w:szCs w:val="22"/>
        </w:rPr>
        <w:lastRenderedPageBreak/>
        <w:t>“</w:t>
      </w:r>
      <w:r w:rsidRPr="003565EB">
        <w:rPr>
          <w:rFonts w:ascii="Palatino Linotype" w:hAnsi="Palatino Linotype"/>
          <w:b/>
          <w:i/>
          <w:sz w:val="22"/>
          <w:szCs w:val="22"/>
        </w:rPr>
        <w:t>Artículo 149.</w:t>
      </w:r>
      <w:r w:rsidRPr="003565EB">
        <w:rPr>
          <w:rFonts w:ascii="Palatino Linotype" w:hAnsi="Palatino Linotype"/>
          <w:i/>
          <w:sz w:val="22"/>
          <w:szCs w:val="22"/>
        </w:rPr>
        <w:t xml:space="preserve"> El </w:t>
      </w:r>
      <w:r w:rsidRPr="003565EB">
        <w:rPr>
          <w:rFonts w:ascii="Palatino Linotype" w:hAnsi="Palatino Linotype"/>
          <w:b/>
          <w:i/>
          <w:sz w:val="22"/>
          <w:szCs w:val="22"/>
        </w:rPr>
        <w:t>acuerdo que clasifique la información como confidencial</w:t>
      </w:r>
      <w:r w:rsidRPr="003565EB">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675193" w:rsidRPr="003565EB" w:rsidRDefault="00675193" w:rsidP="0067519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3565EB">
        <w:rPr>
          <w:rFonts w:ascii="Palatino Linotype" w:hAnsi="Palatino Linotype" w:cs="Arial"/>
          <w:lang w:val="es-ES"/>
        </w:rPr>
        <w:t>Sirve de sustento, la tesis aislada</w:t>
      </w:r>
      <w:r w:rsidRPr="003565EB">
        <w:t xml:space="preserve"> de los </w:t>
      </w:r>
      <w:r w:rsidRPr="003565EB">
        <w:rPr>
          <w:rFonts w:ascii="Palatino Linotype" w:hAnsi="Palatino Linotype" w:cs="Arial"/>
          <w:lang w:val="es-ES"/>
        </w:rPr>
        <w:t>Tribunales Colegiados de Circuito, visible en la página 2133, del Libro 26, de la Décima Época del Semanario Judicial de la Federación y su Gaceta, abril de 2016, de rubro y texto siguiente:</w:t>
      </w:r>
    </w:p>
    <w:p w:rsidR="00675193" w:rsidRPr="003565EB" w:rsidRDefault="00675193" w:rsidP="00675193">
      <w:pPr>
        <w:tabs>
          <w:tab w:val="left" w:pos="8222"/>
        </w:tabs>
        <w:ind w:left="851" w:right="899"/>
        <w:jc w:val="both"/>
        <w:rPr>
          <w:rFonts w:ascii="Palatino Linotype" w:hAnsi="Palatino Linotype" w:cs="Arial"/>
          <w:b/>
          <w:i/>
          <w:sz w:val="22"/>
          <w:lang w:eastAsia="es-MX"/>
        </w:rPr>
      </w:pPr>
      <w:r w:rsidRPr="003565EB">
        <w:rPr>
          <w:rFonts w:ascii="Palatino Linotype" w:hAnsi="Palatino Linotype" w:cs="Arial"/>
          <w:b/>
          <w:i/>
          <w:sz w:val="22"/>
          <w:lang w:eastAsia="es-MX"/>
        </w:rPr>
        <w:t>ACCESO A LA INFORMACIÓN. EJERCICIO DEL DERECHO RELATIVO TRATÁNDOSE DE LA CLASIFICADA COMO CONFIDENCIAL, MEDIANTE LA PRUEBA DE DAÑO O DEL INTERÉS PÚBLICO Y ROL DEL JUEZ DE AMPARO PARA FACILITAR LA DEFENSA DE LAS PARTES.</w:t>
      </w:r>
    </w:p>
    <w:p w:rsidR="00675193" w:rsidRPr="003565EB" w:rsidRDefault="00675193" w:rsidP="00675193">
      <w:pPr>
        <w:tabs>
          <w:tab w:val="left" w:pos="8222"/>
        </w:tabs>
        <w:ind w:left="851" w:right="899"/>
        <w:jc w:val="both"/>
        <w:rPr>
          <w:rFonts w:ascii="Palatino Linotype" w:hAnsi="Palatino Linotype" w:cs="Arial"/>
          <w:b/>
          <w:i/>
          <w:sz w:val="22"/>
          <w:lang w:eastAsia="es-MX"/>
        </w:rPr>
      </w:pPr>
    </w:p>
    <w:p w:rsidR="00675193" w:rsidRPr="003565EB" w:rsidRDefault="00675193" w:rsidP="00675193">
      <w:pPr>
        <w:tabs>
          <w:tab w:val="left" w:pos="8222"/>
        </w:tabs>
        <w:ind w:left="851" w:right="899"/>
        <w:jc w:val="both"/>
        <w:rPr>
          <w:rFonts w:ascii="Palatino Linotype" w:hAnsi="Palatino Linotype" w:cs="Arial"/>
          <w:i/>
          <w:sz w:val="22"/>
          <w:lang w:eastAsia="es-MX"/>
        </w:rPr>
      </w:pPr>
      <w:r w:rsidRPr="003565EB">
        <w:rPr>
          <w:rFonts w:ascii="Palatino Linotype" w:hAnsi="Palatino Linotype" w:cs="Arial"/>
          <w:i/>
          <w:sz w:val="22"/>
          <w:lang w:eastAsia="es-MX"/>
        </w:rPr>
        <w:t>Para el ejercicio del derecho de acceso a la información, previsto en el artículo 6o. de la Constitución Política de los Estados Unidos Mexicanos, la Ley General de Transparencia y Acceso a la Información Pública establece la existencia de los mecanismos correspondientes y de procedimientos de revisión expeditos, y dispone que ese derecho humano comprende solicitar, investigar, difundir, buscar y recibir información. Asimismo, que toda la generada, obtenida, adquirida, transformada o en posesión de los sujetos obligados es pública y accesible a cualquier persona. Además señala, como regla general, el acceso a dicha información y, por excepción, la clasificación. Es así que para clasificar la información como reservada, debe hacerse un análisis, caso por caso, mediante la aplicación de la "prueba de daño". Sin perjuicio de lo anterior, cuando un documento contenga partes o secciones reservadas o confidenciales, los sujetos obligados deberán elaborar una versión pública, en la que testen única y exclusivamente aquéllas, con indicación de su contenido de forma genérica, así como la fundamentación y motivación que sustente dicha clasificación. Por otra parte, si alguien intenta revertir determinada clasificación de información que estima no es confidencial, debe plantearlo ante la autoridad que realizó la clasificación, dando audiencia a los beneficiados con la decretada y a los probables afectados, para el evento de que se reclasifique, a través de la "prueba del interés público". De lo anterior se advierte que corresponde a los sujetos obligados realizar la clasificación de la información que obre en su poder y, contra la decisión que adopten, procede interponer el recurso de revisión ante el organismo garante que corresponda. En consecuencia, la obligación de clasificar la información corresponde única y directamente a los sujetos obligados, en tanto que al Juez de amparo sólo compete facilitar, bajo su más estricta responsabilidad, el acceso a la que sea "indispensable para la adecuada defensa de las partes". (Sic)</w:t>
      </w:r>
    </w:p>
    <w:p w:rsidR="00675193" w:rsidRPr="003565EB" w:rsidRDefault="00675193" w:rsidP="00675193">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3565EB">
        <w:rPr>
          <w:rFonts w:ascii="Palatino Linotype" w:hAnsi="Palatino Linotype" w:cs="Arial"/>
        </w:rPr>
        <w:lastRenderedPageBreak/>
        <w:t xml:space="preserve">En ese sentido, </w:t>
      </w:r>
      <w:r w:rsidRPr="003565EB">
        <w:rPr>
          <w:rFonts w:ascii="Palatino Linotype" w:hAnsi="Palatino Linotype"/>
        </w:rPr>
        <w:t xml:space="preserve">este Órgano Garante no pierde de vista que los documentos que se solicitan, contienen información confidencial, la cual, </w:t>
      </w:r>
      <w:r w:rsidRPr="003565EB">
        <w:rPr>
          <w:rFonts w:ascii="Palatino Linotype" w:hAnsi="Palatino Linotype" w:cs="Arial"/>
          <w:lang w:val="es-ES"/>
        </w:rPr>
        <w:t xml:space="preserve">de manera enunciativa más no limitativa, pudiera ser </w:t>
      </w:r>
      <w:r w:rsidRPr="003565EB">
        <w:rPr>
          <w:rFonts w:ascii="Palatino Linotype" w:hAnsi="Palatino Linotype"/>
        </w:rPr>
        <w:t xml:space="preserve">el </w:t>
      </w:r>
      <w:r w:rsidRPr="003565EB">
        <w:rPr>
          <w:rFonts w:ascii="Palatino Linotype" w:hAnsi="Palatino Linotype" w:cs="Arial"/>
          <w:lang w:val="es-ES"/>
        </w:rPr>
        <w:t xml:space="preserve">nombre y firmas de particulares que fungieron como testigos en las Actas de Entrega-Recepción; las </w:t>
      </w:r>
      <w:r w:rsidRPr="003565EB">
        <w:rPr>
          <w:rFonts w:ascii="Palatino Linotype" w:hAnsi="Palatino Linotype"/>
          <w:lang w:eastAsia="es-MX"/>
        </w:rPr>
        <w:t xml:space="preserve">Claves Únicas de Registro de Población (CURP), el </w:t>
      </w:r>
      <w:r w:rsidRPr="003565EB">
        <w:rPr>
          <w:rFonts w:ascii="Palatino Linotype" w:eastAsia="Arial Unicode MS" w:hAnsi="Palatino Linotype" w:cs="Arial"/>
        </w:rPr>
        <w:t xml:space="preserve">Registro Federal de Contribuyentes de personas físicas (RFC); claves de elector; </w:t>
      </w:r>
      <w:r w:rsidRPr="003565EB">
        <w:rPr>
          <w:rFonts w:ascii="Palatino Linotype" w:hAnsi="Palatino Linotype" w:cs="Arial"/>
          <w:lang w:val="es-ES"/>
        </w:rPr>
        <w:t xml:space="preserve">fotografías; huellas dactilares, domicilio particular, teléfono particular, etc. </w:t>
      </w:r>
    </w:p>
    <w:p w:rsidR="00675193" w:rsidRPr="003565EB" w:rsidRDefault="00675193" w:rsidP="00675193">
      <w:pPr>
        <w:spacing w:line="360" w:lineRule="auto"/>
        <w:jc w:val="both"/>
        <w:rPr>
          <w:rFonts w:ascii="Palatino Linotype" w:hAnsi="Palatino Linotype" w:cs="Arial"/>
        </w:rPr>
      </w:pPr>
      <w:r w:rsidRPr="003565EB">
        <w:rPr>
          <w:rFonts w:ascii="Palatino Linotype" w:hAnsi="Palatino Linotype" w:cs="Arial"/>
        </w:rPr>
        <w:t xml:space="preserve">Por lo que concierne al RFC de personas físicas, </w:t>
      </w:r>
      <w:r w:rsidRPr="003565EB">
        <w:rPr>
          <w:rFonts w:ascii="Palatino Linotype" w:eastAsia="Arial Unicode MS" w:hAnsi="Palatino Linotype" w:cs="Arial"/>
        </w:rPr>
        <w:t xml:space="preserve">el Pleno del INAI, ha establecido que es una clave de carácter fiscal, única e irrepetible, </w:t>
      </w:r>
      <w:r w:rsidRPr="003565EB">
        <w:rPr>
          <w:rFonts w:ascii="Palatino Linotype" w:hAnsi="Palatino Linotype" w:cs="Arial"/>
        </w:rPr>
        <w:t>a través del Criterio 19/17, que señala literalmente lo siguiente:</w:t>
      </w:r>
    </w:p>
    <w:p w:rsidR="00675193" w:rsidRPr="003565EB" w:rsidRDefault="00675193" w:rsidP="00675193">
      <w:pPr>
        <w:ind w:left="851" w:right="899"/>
        <w:jc w:val="both"/>
        <w:rPr>
          <w:rFonts w:ascii="Palatino Linotype" w:hAnsi="Palatino Linotype" w:cs="Arial"/>
          <w:bCs/>
          <w:i/>
          <w:sz w:val="22"/>
          <w:szCs w:val="22"/>
        </w:rPr>
      </w:pPr>
      <w:r w:rsidRPr="003565EB">
        <w:rPr>
          <w:rFonts w:ascii="Palatino Linotype" w:hAnsi="Palatino Linotype" w:cs="Arial"/>
          <w:bCs/>
          <w:i/>
          <w:sz w:val="22"/>
          <w:szCs w:val="22"/>
        </w:rPr>
        <w:t>“</w:t>
      </w:r>
      <w:r w:rsidRPr="003565EB">
        <w:rPr>
          <w:rFonts w:ascii="Palatino Linotype" w:hAnsi="Palatino Linotype" w:cs="Arial"/>
          <w:b/>
          <w:bCs/>
          <w:i/>
          <w:sz w:val="22"/>
          <w:szCs w:val="22"/>
        </w:rPr>
        <w:t xml:space="preserve">Registro Federal de Contribuyentes (RFC) de personas físicas. </w:t>
      </w:r>
      <w:r w:rsidRPr="003565EB">
        <w:rPr>
          <w:rFonts w:ascii="Palatino Linotype" w:hAnsi="Palatino Linotype" w:cs="Arial"/>
          <w:bCs/>
          <w:i/>
          <w:sz w:val="22"/>
          <w:szCs w:val="22"/>
        </w:rPr>
        <w:t>El RFC es una clave de carácter fiscal, única e irrepetible, que permite identificar al titular, su edad y fecha de nacimiento, por lo que es un dato personal de carácter confidencial.</w:t>
      </w:r>
    </w:p>
    <w:p w:rsidR="00675193" w:rsidRPr="003565EB" w:rsidRDefault="00675193" w:rsidP="00675193">
      <w:pPr>
        <w:ind w:left="851" w:right="899"/>
        <w:jc w:val="both"/>
        <w:rPr>
          <w:rFonts w:ascii="Palatino Linotype" w:hAnsi="Palatino Linotype" w:cs="Arial"/>
          <w:bCs/>
          <w:i/>
          <w:sz w:val="22"/>
          <w:szCs w:val="22"/>
        </w:rPr>
      </w:pPr>
      <w:r w:rsidRPr="003565EB">
        <w:rPr>
          <w:rFonts w:ascii="Palatino Linotype" w:hAnsi="Palatino Linotype" w:cs="Arial"/>
          <w:bCs/>
          <w:i/>
          <w:sz w:val="22"/>
          <w:szCs w:val="22"/>
        </w:rPr>
        <w:t>Resoluciones:</w:t>
      </w:r>
    </w:p>
    <w:p w:rsidR="00675193" w:rsidRPr="003565EB" w:rsidRDefault="00675193" w:rsidP="00675193">
      <w:pPr>
        <w:ind w:left="851" w:right="899"/>
        <w:jc w:val="both"/>
        <w:rPr>
          <w:rFonts w:ascii="Palatino Linotype" w:hAnsi="Palatino Linotype" w:cs="Arial"/>
          <w:bCs/>
          <w:i/>
          <w:sz w:val="22"/>
          <w:szCs w:val="22"/>
        </w:rPr>
      </w:pPr>
      <w:r w:rsidRPr="003565EB">
        <w:rPr>
          <w:rFonts w:ascii="Palatino Linotype" w:hAnsi="Palatino Linotype" w:cs="Arial"/>
          <w:bCs/>
          <w:i/>
          <w:sz w:val="22"/>
          <w:szCs w:val="22"/>
        </w:rPr>
        <w:t>•</w:t>
      </w:r>
      <w:r w:rsidRPr="003565EB">
        <w:rPr>
          <w:rFonts w:ascii="Palatino Linotype" w:hAnsi="Palatino Linotype" w:cs="Arial"/>
          <w:bCs/>
          <w:i/>
          <w:sz w:val="22"/>
          <w:szCs w:val="22"/>
        </w:rPr>
        <w:tab/>
        <w:t>RRA 0189/17. Morena. 08 de febrero de 2017. Por unanimidad. Comisionado Ponente Joel Salas Suárez.</w:t>
      </w:r>
    </w:p>
    <w:p w:rsidR="00675193" w:rsidRPr="003565EB" w:rsidRDefault="00675193" w:rsidP="00675193">
      <w:pPr>
        <w:ind w:left="851" w:right="899"/>
        <w:jc w:val="both"/>
        <w:rPr>
          <w:rFonts w:ascii="Palatino Linotype" w:hAnsi="Palatino Linotype" w:cs="Arial"/>
          <w:bCs/>
          <w:i/>
          <w:sz w:val="22"/>
          <w:szCs w:val="22"/>
        </w:rPr>
      </w:pPr>
      <w:r w:rsidRPr="003565EB">
        <w:rPr>
          <w:rFonts w:ascii="Palatino Linotype" w:hAnsi="Palatino Linotype" w:cs="Arial"/>
          <w:bCs/>
          <w:i/>
          <w:sz w:val="22"/>
          <w:szCs w:val="22"/>
        </w:rPr>
        <w:t>•</w:t>
      </w:r>
      <w:r w:rsidRPr="003565EB">
        <w:rPr>
          <w:rFonts w:ascii="Palatino Linotype" w:hAnsi="Palatino Linotype" w:cs="Arial"/>
          <w:bCs/>
          <w:i/>
          <w:sz w:val="22"/>
          <w:szCs w:val="22"/>
        </w:rPr>
        <w:tab/>
        <w:t xml:space="preserve">RRA 0677/17. Universidad Nacional Autónoma de México. 08 de marzo de 2017. Por unanimidad. Comisionado Ponente Rosendoevgueni Monterrey Chepov. </w:t>
      </w:r>
    </w:p>
    <w:p w:rsidR="00675193" w:rsidRPr="003565EB" w:rsidRDefault="00675193" w:rsidP="00675193">
      <w:pPr>
        <w:ind w:left="851" w:right="899"/>
        <w:jc w:val="both"/>
        <w:rPr>
          <w:rFonts w:ascii="Palatino Linotype" w:eastAsia="Arial Unicode MS" w:hAnsi="Palatino Linotype" w:cs="Arial"/>
          <w:i/>
          <w:sz w:val="22"/>
          <w:szCs w:val="22"/>
        </w:rPr>
      </w:pPr>
      <w:r w:rsidRPr="003565EB">
        <w:rPr>
          <w:rFonts w:ascii="Palatino Linotype" w:hAnsi="Palatino Linotype" w:cs="Arial"/>
          <w:bCs/>
          <w:i/>
          <w:sz w:val="22"/>
          <w:szCs w:val="22"/>
        </w:rPr>
        <w:t>•</w:t>
      </w:r>
      <w:r w:rsidRPr="003565EB">
        <w:rPr>
          <w:rFonts w:ascii="Palatino Linotype" w:hAnsi="Palatino Linotype" w:cs="Arial"/>
          <w:bCs/>
          <w:i/>
          <w:sz w:val="22"/>
          <w:szCs w:val="22"/>
        </w:rPr>
        <w:tab/>
        <w:t>RRA 1564/17. Tribunal Electoral del Poder Judicial de la Federación. 26 de abril de 2017. Por unanimidad. Comisionado Ponente Oscar Mauricio Guerra Ford.</w:t>
      </w:r>
      <w:r w:rsidRPr="003565EB">
        <w:rPr>
          <w:rFonts w:ascii="Palatino Linotype" w:eastAsia="Arial Unicode MS" w:hAnsi="Palatino Linotype" w:cs="Arial"/>
          <w:i/>
          <w:sz w:val="22"/>
          <w:szCs w:val="22"/>
        </w:rPr>
        <w:t>” (Sic)</w:t>
      </w:r>
    </w:p>
    <w:p w:rsidR="00675193" w:rsidRPr="003565EB" w:rsidRDefault="00675193" w:rsidP="00675193">
      <w:pPr>
        <w:ind w:left="851" w:right="899"/>
        <w:jc w:val="both"/>
        <w:rPr>
          <w:rFonts w:ascii="Palatino Linotype" w:hAnsi="Palatino Linotype" w:cs="Arial"/>
          <w:bCs/>
          <w:i/>
          <w:sz w:val="22"/>
          <w:szCs w:val="22"/>
        </w:rPr>
      </w:pPr>
    </w:p>
    <w:p w:rsidR="00675193" w:rsidRPr="003565EB" w:rsidRDefault="00675193" w:rsidP="00675193">
      <w:pPr>
        <w:spacing w:before="100" w:beforeAutospacing="1" w:after="100" w:afterAutospacing="1" w:line="360" w:lineRule="auto"/>
        <w:jc w:val="both"/>
        <w:rPr>
          <w:rFonts w:ascii="Palatino Linotype" w:hAnsi="Palatino Linotype" w:cs="Arial"/>
          <w:lang w:eastAsia="es-MX"/>
        </w:rPr>
      </w:pPr>
      <w:r w:rsidRPr="003565EB">
        <w:rPr>
          <w:rFonts w:ascii="Palatino Linotype" w:hAnsi="Palatino Linotype" w:cs="Arial"/>
          <w:lang w:eastAsia="es-MX"/>
        </w:rPr>
        <w:t xml:space="preserve">De lo anterior, se desprende que el RFC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XI de </w:t>
      </w:r>
      <w:r w:rsidRPr="003565EB">
        <w:rPr>
          <w:rFonts w:ascii="Palatino Linotype" w:hAnsi="Palatino Linotype" w:cs="Arial"/>
          <w:lang w:eastAsia="es-MX"/>
        </w:rPr>
        <w:lastRenderedPageBreak/>
        <w:t xml:space="preserve">la </w:t>
      </w:r>
      <w:r w:rsidRPr="003565EB">
        <w:rPr>
          <w:rFonts w:ascii="Palatino Linotype" w:hAnsi="Palatino Linotype" w:cs="Arial"/>
        </w:rPr>
        <w:t>Ley de Protección de Datos Personales en Posesión de Sujetos Obligados del Estado de México y Municipios</w:t>
      </w:r>
      <w:r w:rsidRPr="003565EB">
        <w:rPr>
          <w:rFonts w:ascii="Palatino Linotype" w:hAnsi="Palatino Linotype" w:cs="Arial"/>
          <w:lang w:eastAsia="es-MX"/>
        </w:rPr>
        <w:t>.</w:t>
      </w:r>
    </w:p>
    <w:p w:rsidR="00675193" w:rsidRPr="003565EB" w:rsidRDefault="00675193" w:rsidP="00675193">
      <w:pPr>
        <w:spacing w:before="100" w:beforeAutospacing="1" w:after="100" w:afterAutospacing="1" w:line="360" w:lineRule="auto"/>
        <w:jc w:val="both"/>
        <w:rPr>
          <w:rFonts w:ascii="Palatino Linotype" w:hAnsi="Palatino Linotype" w:cs="Arial"/>
        </w:rPr>
      </w:pPr>
      <w:r w:rsidRPr="003565EB">
        <w:rPr>
          <w:rFonts w:ascii="Palatino Linotype" w:hAnsi="Palatino Linotype" w:cs="Arial"/>
        </w:rPr>
        <w:t>Por cuanto hace a la CURP,</w:t>
      </w:r>
      <w:r w:rsidRPr="003565EB">
        <w:rPr>
          <w:rFonts w:ascii="Palatino Linotype" w:hAnsi="Palatino Linotype" w:cs="Arial"/>
          <w:b/>
        </w:rPr>
        <w:t xml:space="preserve"> </w:t>
      </w:r>
      <w:r w:rsidRPr="003565EB">
        <w:rPr>
          <w:rFonts w:ascii="Palatino Linotype" w:hAnsi="Palatino Linotype" w:cs="Arial"/>
        </w:rPr>
        <w:t>éste 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675193" w:rsidRPr="003565EB" w:rsidRDefault="00675193" w:rsidP="00675193">
      <w:pPr>
        <w:spacing w:before="100" w:beforeAutospacing="1" w:after="100" w:afterAutospacing="1" w:line="360" w:lineRule="auto"/>
        <w:jc w:val="both"/>
        <w:rPr>
          <w:rFonts w:ascii="Palatino Linotype" w:hAnsi="Palatino Linotype" w:cs="Arial"/>
        </w:rPr>
      </w:pPr>
      <w:r w:rsidRPr="003565EB">
        <w:rPr>
          <w:rFonts w:ascii="Palatino Linotype" w:hAnsi="Palatino Linotype" w:cs="Arial"/>
        </w:rPr>
        <w:t>Lo anterior, tiene sustento en los artículos 86 y 91 de la Ley General de Población, la cual señala lo siguiente:</w:t>
      </w:r>
    </w:p>
    <w:p w:rsidR="00675193" w:rsidRPr="003565EB" w:rsidRDefault="00675193" w:rsidP="00675193">
      <w:pPr>
        <w:ind w:left="851" w:right="902"/>
        <w:jc w:val="both"/>
        <w:rPr>
          <w:rFonts w:ascii="Palatino Linotype" w:hAnsi="Palatino Linotype" w:cs="Arial"/>
          <w:i/>
          <w:sz w:val="22"/>
          <w:szCs w:val="22"/>
        </w:rPr>
      </w:pPr>
      <w:r w:rsidRPr="003565EB">
        <w:rPr>
          <w:rFonts w:ascii="Palatino Linotype" w:hAnsi="Palatino Linotype" w:cs="Arial,Bold"/>
          <w:bCs/>
          <w:i/>
          <w:sz w:val="22"/>
          <w:szCs w:val="22"/>
        </w:rPr>
        <w:t>“</w:t>
      </w:r>
      <w:r w:rsidRPr="003565EB">
        <w:rPr>
          <w:rFonts w:ascii="Palatino Linotype" w:hAnsi="Palatino Linotype" w:cs="Arial,Bold"/>
          <w:b/>
          <w:bCs/>
          <w:i/>
          <w:sz w:val="22"/>
          <w:szCs w:val="22"/>
        </w:rPr>
        <w:t xml:space="preserve">Artículo 86. </w:t>
      </w:r>
      <w:r w:rsidRPr="003565EB">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675193" w:rsidRPr="003565EB" w:rsidRDefault="00675193" w:rsidP="00675193">
      <w:pPr>
        <w:ind w:left="851" w:right="902"/>
        <w:jc w:val="both"/>
        <w:rPr>
          <w:rFonts w:ascii="Palatino Linotype" w:hAnsi="Palatino Linotype" w:cs="Arial"/>
          <w:i/>
          <w:sz w:val="22"/>
          <w:szCs w:val="22"/>
        </w:rPr>
      </w:pPr>
      <w:r w:rsidRPr="003565EB">
        <w:rPr>
          <w:rFonts w:ascii="Palatino Linotype" w:hAnsi="Palatino Linotype" w:cs="Arial,Bold"/>
          <w:b/>
          <w:bCs/>
          <w:i/>
          <w:sz w:val="22"/>
          <w:szCs w:val="22"/>
        </w:rPr>
        <w:t xml:space="preserve">Artículo 91. </w:t>
      </w:r>
      <w:r w:rsidRPr="003565EB">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675193" w:rsidRPr="003565EB" w:rsidRDefault="00675193" w:rsidP="00675193">
      <w:pPr>
        <w:shd w:val="clear" w:color="auto" w:fill="FFFFFF"/>
        <w:spacing w:before="100" w:beforeAutospacing="1" w:after="100" w:afterAutospacing="1" w:line="360" w:lineRule="auto"/>
        <w:jc w:val="both"/>
        <w:rPr>
          <w:rFonts w:ascii="Palatino Linotype" w:hAnsi="Palatino Linotype"/>
        </w:rPr>
      </w:pPr>
      <w:r w:rsidRPr="003565EB">
        <w:rPr>
          <w:rFonts w:ascii="Palatino Linotype" w:hAnsi="Palatino Linotype"/>
        </w:rPr>
        <w:t>Ahora bien, la CÚRP, está integrada de 18 elementos representados por letras y números, que se generan a partir de los datos contenidos en un documento probatorio de identidad (acta de nacimiento, carta de naturalización o documento migratorio), la cual se integra de</w:t>
      </w:r>
      <w:r w:rsidRPr="003565EB">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3565EB">
        <w:rPr>
          <w:rFonts w:ascii="Palatino Linotype" w:hAnsi="Palatino Linotype"/>
        </w:rPr>
        <w:t xml:space="preserve">; sexo; Entidad Federativa o lugar de nacimiento; finalmente una homoclave o dígito verificador, compuesto de dos elementos, con el que se evitan duplicaciones en la Clave, identifican el cambio de siglo y garantizan la correcta integración. </w:t>
      </w:r>
    </w:p>
    <w:p w:rsidR="00675193" w:rsidRPr="003565EB" w:rsidRDefault="00675193" w:rsidP="00675193">
      <w:pPr>
        <w:shd w:val="clear" w:color="auto" w:fill="FFFFFF"/>
        <w:spacing w:before="100" w:beforeAutospacing="1" w:after="100" w:afterAutospacing="1" w:line="360" w:lineRule="auto"/>
        <w:jc w:val="both"/>
        <w:rPr>
          <w:rFonts w:ascii="Palatino Linotype" w:hAnsi="Palatino Linotype" w:cs="Arial"/>
        </w:rPr>
      </w:pPr>
      <w:r w:rsidRPr="003565EB">
        <w:rPr>
          <w:rFonts w:ascii="Palatino Linotype" w:hAnsi="Palatino Linotype" w:cs="Arial"/>
        </w:rPr>
        <w:t>Al respecto, el</w:t>
      </w:r>
      <w:r w:rsidRPr="003565EB">
        <w:rPr>
          <w:rFonts w:ascii="Palatino Linotype" w:eastAsia="Arial Unicode MS" w:hAnsi="Palatino Linotype" w:cs="Arial"/>
        </w:rPr>
        <w:t xml:space="preserve"> INAI, </w:t>
      </w:r>
      <w:r w:rsidRPr="003565EB">
        <w:rPr>
          <w:rFonts w:ascii="Palatino Linotype" w:hAnsi="Palatino Linotype" w:cs="Arial"/>
        </w:rPr>
        <w:t xml:space="preserve"> a través del Criterio 18/17, señala literalmente lo siguiente:</w:t>
      </w:r>
    </w:p>
    <w:p w:rsidR="00675193" w:rsidRPr="003565EB" w:rsidRDefault="00675193" w:rsidP="00675193">
      <w:pPr>
        <w:ind w:left="851" w:right="902"/>
        <w:jc w:val="both"/>
        <w:rPr>
          <w:rFonts w:ascii="Palatino Linotype" w:hAnsi="Palatino Linotype" w:cs="Arial"/>
          <w:bCs/>
          <w:i/>
          <w:sz w:val="22"/>
          <w:szCs w:val="22"/>
        </w:rPr>
      </w:pPr>
      <w:r w:rsidRPr="003565EB">
        <w:rPr>
          <w:rFonts w:ascii="Palatino Linotype" w:hAnsi="Palatino Linotype" w:cs="Arial"/>
          <w:bCs/>
          <w:i/>
          <w:sz w:val="22"/>
          <w:szCs w:val="22"/>
        </w:rPr>
        <w:lastRenderedPageBreak/>
        <w:t>“</w:t>
      </w:r>
      <w:r w:rsidRPr="003565EB">
        <w:rPr>
          <w:rFonts w:ascii="Palatino Linotype" w:hAnsi="Palatino Linotype" w:cs="Arial"/>
          <w:b/>
          <w:bCs/>
          <w:i/>
          <w:sz w:val="22"/>
          <w:szCs w:val="22"/>
        </w:rPr>
        <w:t xml:space="preserve">Clave Única de Registro de Población (CURP). </w:t>
      </w:r>
      <w:r w:rsidRPr="003565EB">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675193" w:rsidRPr="003565EB" w:rsidRDefault="00675193" w:rsidP="00675193">
      <w:pPr>
        <w:ind w:left="851" w:right="902"/>
        <w:jc w:val="both"/>
        <w:rPr>
          <w:rFonts w:ascii="Palatino Linotype" w:hAnsi="Palatino Linotype" w:cs="Arial"/>
          <w:bCs/>
          <w:i/>
          <w:sz w:val="22"/>
          <w:szCs w:val="22"/>
        </w:rPr>
      </w:pPr>
      <w:r w:rsidRPr="003565EB">
        <w:rPr>
          <w:rFonts w:ascii="Palatino Linotype" w:hAnsi="Palatino Linotype" w:cs="Arial"/>
          <w:bCs/>
          <w:i/>
          <w:sz w:val="22"/>
          <w:szCs w:val="22"/>
        </w:rPr>
        <w:t>Resoluciones:</w:t>
      </w:r>
    </w:p>
    <w:p w:rsidR="00675193" w:rsidRPr="003565EB" w:rsidRDefault="00675193" w:rsidP="00675193">
      <w:pPr>
        <w:ind w:left="851" w:right="902"/>
        <w:jc w:val="both"/>
        <w:rPr>
          <w:rFonts w:ascii="Palatino Linotype" w:hAnsi="Palatino Linotype" w:cs="Arial"/>
          <w:bCs/>
          <w:i/>
          <w:sz w:val="22"/>
          <w:szCs w:val="22"/>
        </w:rPr>
      </w:pPr>
      <w:r w:rsidRPr="003565EB">
        <w:rPr>
          <w:rFonts w:ascii="Palatino Linotype" w:hAnsi="Palatino Linotype" w:cs="Arial"/>
          <w:bCs/>
          <w:i/>
          <w:sz w:val="22"/>
          <w:szCs w:val="22"/>
        </w:rPr>
        <w:t>•</w:t>
      </w:r>
      <w:r w:rsidRPr="003565EB">
        <w:rPr>
          <w:rFonts w:ascii="Palatino Linotype" w:hAnsi="Palatino Linotype" w:cs="Arial"/>
          <w:bCs/>
          <w:i/>
          <w:sz w:val="22"/>
          <w:szCs w:val="22"/>
        </w:rPr>
        <w:tab/>
        <w:t>RRA 3995/16. Secretaría de la Defensa Nacional. 1 de febrero de 2017. Por unanimidad. Comisionado Ponente Rosendoevgueni Monterrey Chepov.</w:t>
      </w:r>
    </w:p>
    <w:p w:rsidR="00675193" w:rsidRPr="003565EB" w:rsidRDefault="00675193" w:rsidP="00675193">
      <w:pPr>
        <w:ind w:left="851" w:right="902"/>
        <w:jc w:val="both"/>
        <w:rPr>
          <w:rFonts w:ascii="Palatino Linotype" w:hAnsi="Palatino Linotype" w:cs="Arial"/>
          <w:bCs/>
          <w:i/>
          <w:sz w:val="22"/>
          <w:szCs w:val="22"/>
        </w:rPr>
      </w:pPr>
      <w:r w:rsidRPr="003565EB">
        <w:rPr>
          <w:rFonts w:ascii="Palatino Linotype" w:hAnsi="Palatino Linotype" w:cs="Arial"/>
          <w:bCs/>
          <w:i/>
          <w:sz w:val="22"/>
          <w:szCs w:val="22"/>
        </w:rPr>
        <w:t>•</w:t>
      </w:r>
      <w:r w:rsidRPr="003565EB">
        <w:rPr>
          <w:rFonts w:ascii="Palatino Linotype" w:hAnsi="Palatino Linotype" w:cs="Arial"/>
          <w:bCs/>
          <w:i/>
          <w:sz w:val="22"/>
          <w:szCs w:val="22"/>
        </w:rPr>
        <w:tab/>
        <w:t xml:space="preserve">RRA 0937/17. Senado de la República. 15 de marzo de 2017. Por unanimidad. Comisionada Ponente Ximena Puente de la Mora. </w:t>
      </w:r>
    </w:p>
    <w:p w:rsidR="00675193" w:rsidRPr="003565EB" w:rsidRDefault="00675193" w:rsidP="00675193">
      <w:pPr>
        <w:ind w:left="851" w:right="902"/>
        <w:jc w:val="both"/>
        <w:rPr>
          <w:rFonts w:ascii="Palatino Linotype" w:hAnsi="Palatino Linotype" w:cs="Arial"/>
          <w:i/>
          <w:sz w:val="22"/>
          <w:szCs w:val="22"/>
        </w:rPr>
      </w:pPr>
      <w:r w:rsidRPr="003565EB">
        <w:rPr>
          <w:rFonts w:ascii="Palatino Linotype" w:hAnsi="Palatino Linotype" w:cs="Arial"/>
          <w:bCs/>
          <w:i/>
          <w:sz w:val="22"/>
          <w:szCs w:val="22"/>
        </w:rPr>
        <w:t>•</w:t>
      </w:r>
      <w:r w:rsidRPr="003565EB">
        <w:rPr>
          <w:rFonts w:ascii="Palatino Linotype" w:hAnsi="Palatino Linotype" w:cs="Arial"/>
          <w:bCs/>
          <w:i/>
          <w:sz w:val="22"/>
          <w:szCs w:val="22"/>
        </w:rPr>
        <w:tab/>
        <w:t>RRA 0478/17. Secretaría de Relaciones Exteriores. 26 de abril de 2017. Por unanimidad. Comisionada Ponente Areli Cano Guadiana.</w:t>
      </w:r>
      <w:r w:rsidRPr="003565EB">
        <w:rPr>
          <w:rFonts w:ascii="Palatino Linotype" w:hAnsi="Palatino Linotype" w:cs="Arial"/>
          <w:i/>
          <w:sz w:val="22"/>
          <w:szCs w:val="22"/>
        </w:rPr>
        <w:t>” (Sic)</w:t>
      </w:r>
    </w:p>
    <w:p w:rsidR="00675193" w:rsidRPr="003565EB" w:rsidRDefault="00675193" w:rsidP="00675193">
      <w:pPr>
        <w:spacing w:before="100" w:beforeAutospacing="1" w:after="100" w:afterAutospacing="1" w:line="360" w:lineRule="auto"/>
        <w:ind w:right="-91"/>
        <w:jc w:val="both"/>
        <w:rPr>
          <w:rFonts w:ascii="Palatino Linotype" w:hAnsi="Palatino Linotype" w:cs="Arial"/>
        </w:rPr>
      </w:pPr>
      <w:r w:rsidRPr="003565EB">
        <w:rPr>
          <w:rFonts w:ascii="Palatino Linotype" w:hAnsi="Palatino Linotype" w:cs="Arial"/>
        </w:rPr>
        <w:t xml:space="preserve">De lo anterior, se desprende que la </w:t>
      </w:r>
      <w:r w:rsidRPr="003565EB">
        <w:rPr>
          <w:rFonts w:ascii="Palatino Linotype" w:hAnsi="Palatino Linotype"/>
        </w:rPr>
        <w:t xml:space="preserve">CURP, </w:t>
      </w:r>
      <w:r w:rsidRPr="003565EB">
        <w:rPr>
          <w:rFonts w:ascii="Palatino Linotype" w:hAnsi="Palatino Linotype" w:cs="Arial"/>
        </w:rPr>
        <w:t>se encuentra vinculada al nombre de la persona, permitiendo identificar la edad, fecha de nacimiento, sexo, lugar de nacimiento, así como su homoclave;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675193" w:rsidRPr="003565EB" w:rsidRDefault="00675193" w:rsidP="00675193">
      <w:pPr>
        <w:spacing w:before="100" w:beforeAutospacing="1" w:after="100" w:afterAutospacing="1" w:line="360" w:lineRule="auto"/>
        <w:ind w:right="-91"/>
        <w:jc w:val="both"/>
        <w:rPr>
          <w:rFonts w:ascii="Palatino Linotype" w:hAnsi="Palatino Linotype" w:cs="Arial"/>
          <w:lang w:eastAsia="es-MX"/>
        </w:rPr>
      </w:pPr>
      <w:r w:rsidRPr="003565EB">
        <w:rPr>
          <w:rFonts w:ascii="Palatino Linotype" w:hAnsi="Palatino Linotype" w:cs="Arial"/>
          <w:lang w:eastAsia="es-MX"/>
        </w:rPr>
        <w:t>En cuanto al domicilio, huella dactilar, fotografía, clave de registro o elector en las credenciales para votar, el artículo 156 numeral 1, incisos d), g) e i) de la Ley General de Instituciones y Procedimientos Electorales, enlista los datos que, cuando menos, debe contener la credencial para votar, siendo los siguientes:</w:t>
      </w:r>
    </w:p>
    <w:p w:rsidR="00675193" w:rsidRPr="003565EB" w:rsidRDefault="00675193" w:rsidP="00675193">
      <w:pPr>
        <w:tabs>
          <w:tab w:val="left" w:pos="8222"/>
        </w:tabs>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t>“</w:t>
      </w:r>
      <w:r w:rsidRPr="003565EB">
        <w:rPr>
          <w:rFonts w:ascii="Palatino Linotype" w:hAnsi="Palatino Linotype" w:cs="Arial"/>
          <w:b/>
          <w:i/>
          <w:sz w:val="22"/>
          <w:szCs w:val="22"/>
          <w:lang w:eastAsia="es-MX"/>
        </w:rPr>
        <w:t>Artículo 156</w:t>
      </w:r>
      <w:r w:rsidRPr="003565EB">
        <w:rPr>
          <w:rFonts w:ascii="Palatino Linotype" w:hAnsi="Palatino Linotype" w:cs="Arial"/>
          <w:i/>
          <w:sz w:val="22"/>
          <w:szCs w:val="22"/>
          <w:lang w:eastAsia="es-MX"/>
        </w:rPr>
        <w:t>.</w:t>
      </w:r>
    </w:p>
    <w:p w:rsidR="00675193" w:rsidRPr="003565EB" w:rsidRDefault="00675193" w:rsidP="00675193">
      <w:pPr>
        <w:tabs>
          <w:tab w:val="left" w:pos="8222"/>
        </w:tabs>
        <w:ind w:left="851" w:right="902"/>
        <w:jc w:val="both"/>
        <w:rPr>
          <w:rFonts w:ascii="Palatino Linotype" w:hAnsi="Palatino Linotype" w:cs="Arial"/>
          <w:i/>
          <w:sz w:val="22"/>
          <w:szCs w:val="22"/>
          <w:lang w:eastAsia="es-MX"/>
        </w:rPr>
      </w:pPr>
      <w:r w:rsidRPr="003565EB">
        <w:rPr>
          <w:rFonts w:ascii="Palatino Linotype" w:hAnsi="Palatino Linotype" w:cs="Arial"/>
          <w:b/>
          <w:i/>
          <w:sz w:val="22"/>
          <w:szCs w:val="22"/>
          <w:lang w:eastAsia="es-MX"/>
        </w:rPr>
        <w:t>1.</w:t>
      </w:r>
      <w:r w:rsidRPr="003565EB">
        <w:rPr>
          <w:rFonts w:ascii="Palatino Linotype" w:hAnsi="Palatino Linotype" w:cs="Arial"/>
          <w:i/>
          <w:sz w:val="22"/>
          <w:szCs w:val="22"/>
          <w:lang w:eastAsia="es-MX"/>
        </w:rPr>
        <w:t xml:space="preserve"> </w:t>
      </w:r>
      <w:r w:rsidRPr="003565EB">
        <w:rPr>
          <w:rFonts w:ascii="Palatino Linotype" w:hAnsi="Palatino Linotype" w:cs="Arial"/>
          <w:b/>
          <w:i/>
          <w:sz w:val="22"/>
          <w:szCs w:val="22"/>
          <w:lang w:eastAsia="es-MX"/>
        </w:rPr>
        <w:t>La credencial para votar deberá contener, cuando menos, los siguientes datos del elector</w:t>
      </w:r>
      <w:r w:rsidRPr="003565EB">
        <w:rPr>
          <w:rFonts w:ascii="Palatino Linotype" w:hAnsi="Palatino Linotype" w:cs="Arial"/>
          <w:i/>
          <w:sz w:val="22"/>
          <w:szCs w:val="22"/>
          <w:lang w:eastAsia="es-MX"/>
        </w:rPr>
        <w:t>:</w:t>
      </w:r>
    </w:p>
    <w:p w:rsidR="00675193" w:rsidRPr="003565EB" w:rsidRDefault="00675193" w:rsidP="00675193">
      <w:pPr>
        <w:tabs>
          <w:tab w:val="left" w:pos="8222"/>
        </w:tabs>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t>…</w:t>
      </w:r>
    </w:p>
    <w:p w:rsidR="00675193" w:rsidRPr="003565EB" w:rsidRDefault="00675193" w:rsidP="00675193">
      <w:pPr>
        <w:tabs>
          <w:tab w:val="left" w:pos="8222"/>
        </w:tabs>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t xml:space="preserve">d) </w:t>
      </w:r>
      <w:r w:rsidRPr="003565EB">
        <w:rPr>
          <w:rFonts w:ascii="Palatino Linotype" w:hAnsi="Palatino Linotype" w:cs="Arial"/>
          <w:b/>
          <w:i/>
          <w:sz w:val="22"/>
          <w:szCs w:val="22"/>
          <w:lang w:eastAsia="es-MX"/>
        </w:rPr>
        <w:t>Domicilio</w:t>
      </w:r>
      <w:r w:rsidRPr="003565EB">
        <w:rPr>
          <w:rFonts w:ascii="Palatino Linotype" w:hAnsi="Palatino Linotype" w:cs="Arial"/>
          <w:i/>
          <w:sz w:val="22"/>
          <w:szCs w:val="22"/>
          <w:lang w:eastAsia="es-MX"/>
        </w:rPr>
        <w:t>;</w:t>
      </w:r>
    </w:p>
    <w:p w:rsidR="00675193" w:rsidRPr="003565EB" w:rsidRDefault="00675193" w:rsidP="00675193">
      <w:pPr>
        <w:tabs>
          <w:tab w:val="left" w:pos="8222"/>
        </w:tabs>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lastRenderedPageBreak/>
        <w:t>…</w:t>
      </w:r>
    </w:p>
    <w:p w:rsidR="00675193" w:rsidRPr="003565EB" w:rsidRDefault="00675193" w:rsidP="00675193">
      <w:pPr>
        <w:tabs>
          <w:tab w:val="left" w:pos="8222"/>
        </w:tabs>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t xml:space="preserve">g) Firma, </w:t>
      </w:r>
      <w:r w:rsidRPr="003565EB">
        <w:rPr>
          <w:rFonts w:ascii="Palatino Linotype" w:hAnsi="Palatino Linotype" w:cs="Arial"/>
          <w:b/>
          <w:i/>
          <w:sz w:val="22"/>
          <w:szCs w:val="22"/>
          <w:lang w:eastAsia="es-MX"/>
        </w:rPr>
        <w:t>huella digital</w:t>
      </w:r>
      <w:r w:rsidRPr="003565EB">
        <w:rPr>
          <w:rFonts w:ascii="Palatino Linotype" w:hAnsi="Palatino Linotype" w:cs="Arial"/>
          <w:i/>
          <w:sz w:val="22"/>
          <w:szCs w:val="22"/>
          <w:lang w:eastAsia="es-MX"/>
        </w:rPr>
        <w:t xml:space="preserve"> y </w:t>
      </w:r>
      <w:r w:rsidRPr="003565EB">
        <w:rPr>
          <w:rFonts w:ascii="Palatino Linotype" w:hAnsi="Palatino Linotype" w:cs="Arial"/>
          <w:b/>
          <w:i/>
          <w:sz w:val="22"/>
          <w:szCs w:val="22"/>
          <w:lang w:eastAsia="es-MX"/>
        </w:rPr>
        <w:t>fotografía del elector</w:t>
      </w:r>
      <w:r w:rsidRPr="003565EB">
        <w:rPr>
          <w:rFonts w:ascii="Palatino Linotype" w:hAnsi="Palatino Linotype" w:cs="Arial"/>
          <w:i/>
          <w:sz w:val="22"/>
          <w:szCs w:val="22"/>
          <w:lang w:eastAsia="es-MX"/>
        </w:rPr>
        <w:t>;</w:t>
      </w:r>
    </w:p>
    <w:p w:rsidR="00675193" w:rsidRPr="003565EB" w:rsidRDefault="00675193" w:rsidP="00675193">
      <w:pPr>
        <w:tabs>
          <w:tab w:val="left" w:pos="8222"/>
        </w:tabs>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t>…</w:t>
      </w:r>
    </w:p>
    <w:p w:rsidR="00675193" w:rsidRPr="003565EB" w:rsidRDefault="00675193" w:rsidP="00675193">
      <w:pPr>
        <w:tabs>
          <w:tab w:val="left" w:pos="8222"/>
        </w:tabs>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t xml:space="preserve">i) Clave Única del Registro de Población. </w:t>
      </w:r>
      <w:r w:rsidRPr="003565EB">
        <w:rPr>
          <w:rFonts w:ascii="Palatino Linotype" w:hAnsi="Palatino Linotype" w:cs="Arial"/>
          <w:i/>
          <w:sz w:val="22"/>
          <w:szCs w:val="22"/>
          <w:lang w:val="es-ES_tradnl"/>
        </w:rPr>
        <w:t>” (Sic)</w:t>
      </w:r>
    </w:p>
    <w:p w:rsidR="00675193" w:rsidRPr="003565EB" w:rsidRDefault="00675193" w:rsidP="00675193">
      <w:pPr>
        <w:tabs>
          <w:tab w:val="left" w:pos="8222"/>
        </w:tabs>
        <w:ind w:left="851" w:right="902"/>
        <w:jc w:val="both"/>
        <w:rPr>
          <w:rFonts w:ascii="Palatino Linotype" w:hAnsi="Palatino Linotype" w:cs="Arial"/>
          <w:i/>
          <w:sz w:val="22"/>
          <w:szCs w:val="22"/>
          <w:lang w:eastAsia="es-MX"/>
        </w:rPr>
      </w:pPr>
    </w:p>
    <w:p w:rsidR="00675193" w:rsidRPr="003565EB" w:rsidRDefault="00675193" w:rsidP="00675193">
      <w:pPr>
        <w:tabs>
          <w:tab w:val="left" w:pos="8222"/>
        </w:tabs>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t>(Énfasis añadido)</w:t>
      </w:r>
    </w:p>
    <w:p w:rsidR="00675193" w:rsidRPr="003565EB" w:rsidRDefault="00675193" w:rsidP="00675193">
      <w:pPr>
        <w:spacing w:before="100" w:beforeAutospacing="1" w:after="100" w:afterAutospacing="1" w:line="360" w:lineRule="auto"/>
        <w:jc w:val="both"/>
        <w:rPr>
          <w:rFonts w:ascii="Palatino Linotype" w:hAnsi="Palatino Linotype" w:cs="Arial"/>
          <w:lang w:eastAsia="es-MX"/>
        </w:rPr>
      </w:pPr>
      <w:r w:rsidRPr="003565EB">
        <w:rPr>
          <w:rFonts w:ascii="Palatino Linotype" w:hAnsi="Palatino Linotype" w:cs="Arial"/>
          <w:lang w:eastAsia="es-MX"/>
        </w:rPr>
        <w:t>Así, el conocimiento de dichos datos afecta la esfera más íntima de su Titular, en razón de que su utilización indebida pueda dar origen a un riesgo grave para éste. En el caso particular de la clave de elector, debe precisarse que es un código alfa numérico compuesto por letras de los apellidos y nombre de la persona, seguido de la fecha de nacimiento y finalmente una serie de números indispensables para su inscripción en el RFC que, a su vez, hace identificable a la persona que corresponde dicha credencial para votar, tan es así, que el Sistema de Administración Tributaria, en su catálogo de trámites contempla como identificación oficial los siguientes documentos:</w:t>
      </w:r>
    </w:p>
    <w:p w:rsidR="00675193" w:rsidRPr="003565EB" w:rsidRDefault="00675193" w:rsidP="00675193">
      <w:pPr>
        <w:spacing w:before="100" w:beforeAutospacing="1" w:after="100" w:afterAutospacing="1" w:line="360" w:lineRule="auto"/>
        <w:jc w:val="center"/>
        <w:rPr>
          <w:rFonts w:ascii="Palatino Linotype" w:hAnsi="Palatino Linotype" w:cs="Arial"/>
          <w:lang w:eastAsia="es-MX"/>
        </w:rPr>
      </w:pPr>
      <w:r w:rsidRPr="003565EB">
        <w:rPr>
          <w:rFonts w:ascii="Palatino Linotype" w:hAnsi="Palatino Linotype"/>
          <w:noProof/>
          <w:lang w:eastAsia="es-MX"/>
        </w:rPr>
        <w:drawing>
          <wp:inline distT="0" distB="0" distL="0" distR="0" wp14:anchorId="4DA29B65" wp14:editId="72304C34">
            <wp:extent cx="5486400" cy="279336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7273"/>
                    <a:stretch/>
                  </pic:blipFill>
                  <pic:spPr bwMode="auto">
                    <a:xfrm>
                      <a:off x="0" y="0"/>
                      <a:ext cx="5500869" cy="2800732"/>
                    </a:xfrm>
                    <a:prstGeom prst="rect">
                      <a:avLst/>
                    </a:prstGeom>
                    <a:ln>
                      <a:noFill/>
                    </a:ln>
                    <a:extLst>
                      <a:ext uri="{53640926-AAD7-44D8-BBD7-CCE9431645EC}">
                        <a14:shadowObscured xmlns:a14="http://schemas.microsoft.com/office/drawing/2010/main"/>
                      </a:ext>
                    </a:extLst>
                  </pic:spPr>
                </pic:pic>
              </a:graphicData>
            </a:graphic>
          </wp:inline>
        </w:drawing>
      </w:r>
    </w:p>
    <w:p w:rsidR="00675193" w:rsidRPr="003565EB" w:rsidRDefault="00675193" w:rsidP="00675193">
      <w:pPr>
        <w:spacing w:before="100" w:beforeAutospacing="1" w:after="100" w:afterAutospacing="1" w:line="360" w:lineRule="auto"/>
        <w:ind w:right="51"/>
        <w:jc w:val="both"/>
        <w:rPr>
          <w:rFonts w:ascii="Palatino Linotype" w:hAnsi="Palatino Linotype" w:cs="Arial"/>
          <w:lang w:eastAsia="es-MX"/>
        </w:rPr>
      </w:pPr>
      <w:r w:rsidRPr="003565EB">
        <w:rPr>
          <w:rFonts w:ascii="Palatino Linotype" w:hAnsi="Palatino Linotype" w:cs="Arial"/>
          <w:lang w:eastAsia="es-MX"/>
        </w:rPr>
        <w:t xml:space="preserve">Respecto a la edad, </w:t>
      </w:r>
      <w:r w:rsidRPr="003565EB">
        <w:rPr>
          <w:rFonts w:ascii="Palatino Linotype" w:hAnsi="Palatino Linotype" w:cs="Arial"/>
        </w:rPr>
        <w:t xml:space="preserve">número identificador (OCR) y código de barras bidimensional y cifrado contenidos en las credenciales para votar, se advierte que se trata de elementos </w:t>
      </w:r>
      <w:r w:rsidRPr="003565EB">
        <w:rPr>
          <w:rFonts w:ascii="Palatino Linotype" w:hAnsi="Palatino Linotype" w:cs="Arial"/>
        </w:rPr>
        <w:lastRenderedPageBreak/>
        <w:t xml:space="preserve">de información, control y presentación, de conformidad a lo señalado </w:t>
      </w:r>
      <w:r w:rsidRPr="003565EB">
        <w:rPr>
          <w:rFonts w:ascii="Palatino Linotype" w:hAnsi="Palatino Linotype" w:cs="Arial"/>
        </w:rPr>
        <w:br/>
        <w:t xml:space="preserve">por el Instituto Nacional Electoral, en la página de Internet Institucional, </w:t>
      </w:r>
      <w:r w:rsidRPr="003565EB">
        <w:rPr>
          <w:rFonts w:ascii="Palatino Linotype" w:hAnsi="Palatino Linotype" w:cs="Arial"/>
          <w:lang w:eastAsia="es-MX"/>
        </w:rPr>
        <w:t xml:space="preserve">http://portalanterior.ine.mx/archivos2/portal/credencial/pdf-credencial/ABC_creden ciales_ INE_2015.pdf, como se muestra a continuación, en su parte medular: </w:t>
      </w:r>
    </w:p>
    <w:p w:rsidR="00675193" w:rsidRPr="003565EB" w:rsidRDefault="00675193" w:rsidP="00675193">
      <w:pPr>
        <w:widowControl w:val="0"/>
        <w:autoSpaceDE w:val="0"/>
        <w:autoSpaceDN w:val="0"/>
        <w:adjustRightInd w:val="0"/>
        <w:spacing w:before="100" w:beforeAutospacing="1" w:after="100" w:afterAutospacing="1" w:line="360" w:lineRule="auto"/>
        <w:jc w:val="center"/>
        <w:rPr>
          <w:rFonts w:ascii="Palatino Linotype" w:hAnsi="Palatino Linotype" w:cs="Arial"/>
          <w:lang w:val="es-ES"/>
        </w:rPr>
      </w:pPr>
      <w:r w:rsidRPr="003565EB">
        <w:rPr>
          <w:rFonts w:ascii="Palatino Linotype" w:hAnsi="Palatino Linotype"/>
          <w:noProof/>
          <w:lang w:eastAsia="es-MX"/>
        </w:rPr>
        <w:drawing>
          <wp:inline distT="0" distB="0" distL="0" distR="0" wp14:anchorId="080AD844" wp14:editId="23176912">
            <wp:extent cx="5789295" cy="2243926"/>
            <wp:effectExtent l="0" t="0" r="190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5938" cy="2262005"/>
                    </a:xfrm>
                    <a:prstGeom prst="rect">
                      <a:avLst/>
                    </a:prstGeom>
                  </pic:spPr>
                </pic:pic>
              </a:graphicData>
            </a:graphic>
          </wp:inline>
        </w:drawing>
      </w:r>
    </w:p>
    <w:p w:rsidR="00675193" w:rsidRPr="003565EB" w:rsidRDefault="00675193" w:rsidP="00CB59E0">
      <w:pPr>
        <w:spacing w:line="360" w:lineRule="auto"/>
        <w:jc w:val="both"/>
        <w:rPr>
          <w:rFonts w:ascii="Palatino Linotype" w:hAnsi="Palatino Linotype" w:cs="Arial"/>
        </w:rPr>
      </w:pPr>
      <w:r w:rsidRPr="003565EB">
        <w:rPr>
          <w:rFonts w:ascii="Palatino Linotype" w:hAnsi="Palatino Linotype"/>
          <w:noProof/>
          <w:lang w:eastAsia="es-MX"/>
        </w:rPr>
        <w:drawing>
          <wp:inline distT="0" distB="0" distL="0" distR="0" wp14:anchorId="1ED5DB60" wp14:editId="0D4DC5B9">
            <wp:extent cx="5786755" cy="2889055"/>
            <wp:effectExtent l="0" t="0" r="4445"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4743" cy="2922998"/>
                    </a:xfrm>
                    <a:prstGeom prst="rect">
                      <a:avLst/>
                    </a:prstGeom>
                  </pic:spPr>
                </pic:pic>
              </a:graphicData>
            </a:graphic>
          </wp:inline>
        </w:drawing>
      </w:r>
    </w:p>
    <w:p w:rsidR="00675193" w:rsidRPr="003565EB" w:rsidRDefault="00675193" w:rsidP="00675193">
      <w:pPr>
        <w:spacing w:before="100" w:beforeAutospacing="1" w:after="100" w:afterAutospacing="1" w:line="360" w:lineRule="auto"/>
        <w:jc w:val="both"/>
        <w:rPr>
          <w:rFonts w:ascii="Palatino Linotype" w:hAnsi="Palatino Linotype" w:cs="Arial"/>
        </w:rPr>
      </w:pPr>
      <w:r w:rsidRPr="003565EB">
        <w:rPr>
          <w:rFonts w:ascii="Palatino Linotype" w:hAnsi="Palatino Linotype" w:cs="Arial"/>
        </w:rPr>
        <w:t xml:space="preserve">En esa tesitura, en el caso del número identificador (OCR), debe precisarse que éste es generalmente utilizado en la realización de diversas operaciones bancarias y, en </w:t>
      </w:r>
      <w:r w:rsidRPr="003565EB">
        <w:rPr>
          <w:rFonts w:ascii="Palatino Linotype" w:hAnsi="Palatino Linotype" w:cs="Arial"/>
        </w:rPr>
        <w:lastRenderedPageBreak/>
        <w:t>algunos casos, como un medio de identificación de las personas, por lo cual, su conocimiento y utilización, concierne únicamente a su titular. En el caso de la edad, se trata de un dato personal sensible que concierne únicamente a su titular, al corresponder a su esfera más íntima.</w:t>
      </w:r>
    </w:p>
    <w:p w:rsidR="0066547D" w:rsidRPr="003565EB" w:rsidRDefault="0066547D" w:rsidP="00675193">
      <w:pPr>
        <w:spacing w:before="100" w:beforeAutospacing="1" w:after="100" w:afterAutospacing="1" w:line="360" w:lineRule="auto"/>
        <w:jc w:val="both"/>
        <w:rPr>
          <w:rFonts w:ascii="Palatino Linotype" w:hAnsi="Palatino Linotype" w:cs="Arial"/>
        </w:rPr>
      </w:pPr>
      <w:r w:rsidRPr="003565EB">
        <w:rPr>
          <w:rFonts w:ascii="Palatino Linotype" w:hAnsi="Palatino Linotype" w:cs="Arial"/>
        </w:rPr>
        <w:t>Mientras que, el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66547D" w:rsidRPr="003565EB" w:rsidRDefault="0066547D" w:rsidP="0066547D">
      <w:pPr>
        <w:spacing w:before="100" w:beforeAutospacing="1" w:after="100" w:afterAutospacing="1" w:line="360" w:lineRule="auto"/>
        <w:ind w:right="51"/>
        <w:jc w:val="both"/>
        <w:rPr>
          <w:rFonts w:ascii="Palatino Linotype" w:eastAsiaTheme="minorEastAsia" w:hAnsi="Palatino Linotype" w:cs="Arial"/>
          <w:lang w:val="es-ES_tradnl"/>
        </w:rPr>
      </w:pPr>
      <w:r w:rsidRPr="003565EB">
        <w:rPr>
          <w:rFonts w:ascii="Palatino Linotype" w:eastAsiaTheme="minorEastAsia" w:hAnsi="Palatino Linotype" w:cs="Arial"/>
          <w:lang w:val="es-ES_tradnl"/>
        </w:rPr>
        <w:t>Por último, en lo que respecta a la huella dactilar, esta es considerada un dato personal sensible de carácter biométrico, en esa virtud, de que el INAI emitió la Guía para el tratamiento de datos biométricos en la cual estipuló que dentro de los datos biométricos que refieren a características físicas y fisiológicas se encuentra la huella dactilar, la retina, el iris, la geometría de la mano o de los dedos, la estructura de las venas de la mano, la forma de las orejas, la piel o textura de la superficie dérmica, el ADN, la composición química del olor corporal y el patrón vascular, pulsación cardíaca, entre otros.</w:t>
      </w:r>
    </w:p>
    <w:p w:rsidR="0066547D" w:rsidRPr="003565EB" w:rsidRDefault="0066547D" w:rsidP="0066547D">
      <w:pPr>
        <w:spacing w:line="360" w:lineRule="auto"/>
        <w:ind w:right="49"/>
        <w:jc w:val="both"/>
        <w:rPr>
          <w:rFonts w:ascii="Palatino Linotype" w:eastAsiaTheme="minorEastAsia" w:hAnsi="Palatino Linotype" w:cs="Arial"/>
          <w:lang w:val="es-ES_tradnl"/>
        </w:rPr>
      </w:pPr>
      <w:r w:rsidRPr="003565EB">
        <w:rPr>
          <w:rFonts w:ascii="Palatino Linotype" w:eastAsiaTheme="minorEastAsia" w:hAnsi="Palatino Linotype" w:cs="Arial"/>
          <w:lang w:val="es-ES_tradnl"/>
        </w:rPr>
        <w:t xml:space="preserve">Así la Guía en comento, determina que las huellas dactilares se forman a partir de la superficie desigual de la piel de los dedos de la mano, en donde se identifican diversas protuberancias y hendiduras conocidas como crestas y valles, las cuales se encuentran dispuestas de modo único. Cuando se registra una huella dactilar en un sistema de reconocimiento, ésta aparece como una serie de líneas oscuras que representan las crestas y de líneas blancas que representan los valles, ubicados entre las crestas. A </w:t>
      </w:r>
      <w:r w:rsidRPr="003565EB">
        <w:rPr>
          <w:rFonts w:ascii="Palatino Linotype" w:eastAsiaTheme="minorEastAsia" w:hAnsi="Palatino Linotype" w:cs="Arial"/>
          <w:lang w:val="es-ES_tradnl"/>
        </w:rPr>
        <w:lastRenderedPageBreak/>
        <w:t>menudo, las crestas son más cortas y se detienen y comienzan abruptamente. Esta combinación de crestas y valles, con sus correspondientes ubicaciones, direcciones, bifurcaciones, inicios y finales -las minucias-, resultan en un patrón único de características de cada huella dactilar. Las minucias son, entonces, aquellos puntos de interés en toda huella digital.</w:t>
      </w:r>
    </w:p>
    <w:p w:rsidR="0066547D" w:rsidRPr="003565EB" w:rsidRDefault="0066547D" w:rsidP="0066547D">
      <w:pPr>
        <w:spacing w:before="100" w:beforeAutospacing="1" w:after="100" w:afterAutospacing="1" w:line="360" w:lineRule="auto"/>
        <w:ind w:right="51"/>
        <w:jc w:val="both"/>
        <w:rPr>
          <w:rFonts w:ascii="Palatino Linotype" w:eastAsiaTheme="minorEastAsia" w:hAnsi="Palatino Linotype" w:cs="Arial"/>
          <w:lang w:val="es-ES_tradnl"/>
        </w:rPr>
      </w:pPr>
      <w:r w:rsidRPr="003565EB">
        <w:rPr>
          <w:rFonts w:ascii="Palatino Linotype" w:eastAsiaTheme="minorEastAsia" w:hAnsi="Palatino Linotype" w:cs="Arial"/>
          <w:lang w:val="es-ES_tradnl"/>
        </w:rPr>
        <w:t>En ese sentido, podemos concluir que las huellas dactilares refieren y están asociadas a una persona física en lo particular; por lo tanto, dicho dato personal sensible debe ser protegido mediante la elaboración de la versión pública correspondiente.</w:t>
      </w:r>
    </w:p>
    <w:p w:rsidR="0066547D" w:rsidRPr="003565EB" w:rsidRDefault="0066547D" w:rsidP="0066547D">
      <w:pPr>
        <w:spacing w:before="100" w:beforeAutospacing="1" w:after="100" w:afterAutospacing="1" w:line="360" w:lineRule="auto"/>
        <w:ind w:right="51"/>
        <w:jc w:val="both"/>
        <w:rPr>
          <w:rFonts w:ascii="Palatino Linotype" w:hAnsi="Palatino Linotype" w:cs="Arial"/>
          <w:lang w:eastAsia="es-MX"/>
        </w:rPr>
      </w:pPr>
      <w:r w:rsidRPr="003565EB">
        <w:rPr>
          <w:rFonts w:ascii="Palatino Linotype" w:eastAsia="Arial Unicode MS" w:hAnsi="Palatino Linotype" w:cs="Arial"/>
        </w:rPr>
        <w:t>Por cuanto hace al teléfono y domicilio personal, éstos son considerados como datos personales,</w:t>
      </w:r>
      <w:r w:rsidRPr="003565EB">
        <w:rPr>
          <w:rFonts w:ascii="Palatino Linotype" w:hAnsi="Palatino Linotype" w:cs="Arial"/>
          <w:lang w:eastAsia="es-MX"/>
        </w:rPr>
        <w:t xml:space="preserve"> que tiene un grado de sensibilidad tal, que su revelación </w:t>
      </w:r>
      <w:r w:rsidRPr="003565EB">
        <w:rPr>
          <w:rFonts w:ascii="Palatino Linotype" w:hAnsi="Palatino Linotype" w:cs="Arial"/>
        </w:rPr>
        <w:t>puede</w:t>
      </w:r>
      <w:r w:rsidRPr="003565EB">
        <w:rPr>
          <w:rFonts w:ascii="Palatino Linotype" w:hAnsi="Palatino Linotype" w:cs="Arial"/>
          <w:lang w:eastAsia="es-MX"/>
        </w:rPr>
        <w:t xml:space="preserve"> poner en riesgo a las personas, es información concerniente a una persona, identificada o identificable, las cuales, son susceptibles de </w:t>
      </w:r>
      <w:r w:rsidRPr="003565EB">
        <w:rPr>
          <w:rFonts w:ascii="Palatino Linotype" w:hAnsi="Palatino Linotype" w:cs="Arial"/>
          <w:bCs/>
          <w:szCs w:val="22"/>
        </w:rPr>
        <w:t>clasificarse</w:t>
      </w:r>
      <w:r w:rsidRPr="003565EB">
        <w:rPr>
          <w:rFonts w:ascii="Palatino Linotype" w:hAnsi="Palatino Linotype" w:cs="Arial"/>
          <w:lang w:eastAsia="es-MX"/>
        </w:rPr>
        <w:t xml:space="preserve"> como confidenciales, de conformidad con lo establecido en el artículo 4, fracción XI de la Ley de Protección de Datos Personales en Posesión de Sujetos Obligados del Estado de México y Municipios.</w:t>
      </w:r>
    </w:p>
    <w:p w:rsidR="0066547D" w:rsidRPr="003565EB" w:rsidRDefault="0066547D" w:rsidP="0066547D">
      <w:pPr>
        <w:pStyle w:val="Prrafodelista"/>
        <w:widowControl w:val="0"/>
        <w:autoSpaceDE w:val="0"/>
        <w:autoSpaceDN w:val="0"/>
        <w:adjustRightInd w:val="0"/>
        <w:spacing w:before="200" w:after="200" w:line="360" w:lineRule="auto"/>
        <w:ind w:left="0"/>
        <w:jc w:val="both"/>
        <w:rPr>
          <w:rFonts w:ascii="Palatino Linotype" w:eastAsia="Arial Unicode MS" w:hAnsi="Palatino Linotype" w:cs="Arial"/>
        </w:rPr>
      </w:pPr>
      <w:r w:rsidRPr="003565EB">
        <w:rPr>
          <w:rFonts w:ascii="Palatino Linotype" w:hAnsi="Palatino Linotype" w:cs="Arial"/>
          <w:lang w:val="es-ES"/>
        </w:rPr>
        <w:t xml:space="preserve">En relación al domicilio particular, sirve de apoyo a lo anterior, </w:t>
      </w:r>
      <w:r w:rsidRPr="003565EB">
        <w:rPr>
          <w:rFonts w:ascii="Palatino Linotype" w:hAnsi="Palatino Linotype" w:cs="Arial"/>
        </w:rPr>
        <w:t xml:space="preserve">la Tesis Aislada con número de registro </w:t>
      </w:r>
      <w:r w:rsidRPr="003565EB">
        <w:rPr>
          <w:rFonts w:ascii="Palatino Linotype" w:eastAsia="Arial Unicode MS" w:hAnsi="Palatino Linotype" w:cs="Arial"/>
        </w:rPr>
        <w:t>2000979</w:t>
      </w:r>
      <w:r w:rsidRPr="003565EB">
        <w:rPr>
          <w:rFonts w:ascii="Palatino Linotype" w:hAnsi="Palatino Linotype" w:cs="Arial"/>
          <w:lang w:val="es-ES_tradnl"/>
        </w:rPr>
        <w:t xml:space="preserve">, </w:t>
      </w:r>
      <w:r w:rsidRPr="003565EB">
        <w:rPr>
          <w:rFonts w:ascii="Palatino Linotype" w:hAnsi="Palatino Linotype"/>
        </w:rPr>
        <w:t xml:space="preserve">de la Décima Época de la </w:t>
      </w:r>
      <w:r w:rsidRPr="003565EB">
        <w:rPr>
          <w:rFonts w:ascii="Palatino Linotype" w:hAnsi="Palatino Linotype" w:cs="Arial"/>
          <w:lang w:val="es-ES_tradnl"/>
        </w:rPr>
        <w:t xml:space="preserve">Primera </w:t>
      </w:r>
      <w:r w:rsidRPr="003565EB">
        <w:rPr>
          <w:rFonts w:ascii="Palatino Linotype" w:hAnsi="Palatino Linotype"/>
        </w:rPr>
        <w:t xml:space="preserve">Sala de la Suprema Corte de Justicia de la Nación, publicada en la página </w:t>
      </w:r>
      <w:r w:rsidRPr="003565EB">
        <w:rPr>
          <w:rFonts w:ascii="Palatino Linotype" w:eastAsia="Arial Unicode MS" w:hAnsi="Palatino Linotype" w:cs="Arial"/>
        </w:rPr>
        <w:t xml:space="preserve">258 </w:t>
      </w:r>
      <w:r w:rsidRPr="003565EB">
        <w:rPr>
          <w:rFonts w:ascii="Palatino Linotype" w:hAnsi="Palatino Linotype"/>
        </w:rPr>
        <w:t xml:space="preserve">del Libro IX, Tomo 1 de junio de 2012, en el Semanario Judicial de la Federación, misma que refiere lo siguiente: </w:t>
      </w:r>
    </w:p>
    <w:p w:rsidR="0066547D" w:rsidRPr="003565EB" w:rsidRDefault="0066547D" w:rsidP="0066547D">
      <w:pPr>
        <w:spacing w:before="160" w:after="160"/>
        <w:ind w:left="709" w:right="709"/>
        <w:jc w:val="both"/>
        <w:rPr>
          <w:rFonts w:ascii="Palatino Linotype" w:eastAsia="Arial Unicode MS" w:hAnsi="Palatino Linotype" w:cs="Arial"/>
          <w:i/>
          <w:sz w:val="22"/>
          <w:szCs w:val="22"/>
        </w:rPr>
      </w:pPr>
      <w:r w:rsidRPr="003565EB">
        <w:rPr>
          <w:rFonts w:ascii="Palatino Linotype" w:eastAsia="Arial Unicode MS" w:hAnsi="Palatino Linotype" w:cs="Arial"/>
          <w:b/>
          <w:i/>
          <w:sz w:val="22"/>
          <w:szCs w:val="22"/>
        </w:rPr>
        <w:t>“DOMICILIO. SU CONCEPTO PARA EFECTOS DE PROTECCIÓN CONSTITUCIONAL.</w:t>
      </w:r>
      <w:r w:rsidRPr="003565EB">
        <w:rPr>
          <w:rFonts w:ascii="Palatino Linotype" w:eastAsia="Arial Unicode MS" w:hAnsi="Palatino Linotype" w:cs="Arial"/>
          <w:i/>
          <w:sz w:val="22"/>
          <w:szCs w:val="22"/>
        </w:rPr>
        <w:t xml:space="preserve"> El concepto de domicilio que contempla el artículo 16 de la Constitución Política de los Estados Unidos Mexicanos, no coincide plenamente con el utilizado en el derecho privado y en especial en los artículos 29, 30 y 31 del Código Civil Federal, como punto de localización de la persona o lugar de ejercicio de derechos y obligaciones. El concepto subyacente a los diversos párrafos del artículo 16 </w:t>
      </w:r>
      <w:r w:rsidRPr="003565EB">
        <w:rPr>
          <w:rFonts w:ascii="Palatino Linotype" w:eastAsia="Arial Unicode MS" w:hAnsi="Palatino Linotype" w:cs="Arial"/>
          <w:i/>
          <w:sz w:val="22"/>
          <w:szCs w:val="22"/>
        </w:rPr>
        <w:lastRenderedPageBreak/>
        <w:t>constitucional ha de entenderse de modo amplio y flexible, ya que se trata de defender los ámbitos en los que se desarrolla la vida privada de las personas, debiendo interpretarse -de conformidad con el segundo párrafo del artículo 1o. constitucional- a la luz de los principios que tienden a extender al máximo la protección a la dignidad y a la intimidad de la persona, ya que en el domicilio se concreta la posibilidad de cada individuo de erigir ámbitos privados que excluyen la observación de los demás y de las autoridades del Estado. Así las cosas, el domicilio, en el sentido de la Constitución, es cualquier lugar cerrado en el que pueda transcurrir la vida privada, individual o familiar, aun cuando sea ocupado temporal o accidentalmente. En este sentido, el destino o uso constituye el elemento esencial para la delimitación de los espacios constitucionalmente protegidos, de ahí que resulten irrelevantes la ubicación, la configuración física, su carácter de mueble o inmueble, el tipo de título jurídico que habilita su uso o la intensidad y periodicidad con la que se desarrolle la vida privada en el mismo. Así las cosas, la protección constitucional del domicilio exige que con independencia de la configuración del espacio, sus signos externos revelen la clara voluntad de su titular de excluir dicho espacio y la actividad en él desarrollada del conocimiento e intromisión de terceros. En el mismo sentido, la protección que dispensa el artículo 16 de la Constitución Política de los Estados Unidos Mexicanos ha de extenderse no solamente al domicilio entendido como aquel lugar en el que un individuo fija su residencia indefinidamente, sino a todo espacio cerrado en el que el individuo pernocte y tenga guardadas las cosas pertenecientes a su intimidad, ya sea de manera permanente o esporádica o temporal, como puede ser la habitación de un hotel. Existen personas que por específicas actividades y dedicaciones, pasan la mayor parte de su tiempo en hoteles y no por ello se puede decir que pierden su derecho a la intimidad, pues sería tanto como privarles de un derecho inherente a su personalidad que no puede ser dividido por espacios temporales o locales. Ahora bien, no sobra señalar que las habitaciones de este tipo de establecimientos pueden ser utilizadas para realizar otro tipo de actividades de carácter profesional, mercantil o de otra naturaleza, en cuyo caso no se considerarán domicilio de quien las usa para tales fines. En el caso de los domicilios móviles, es importante señalar que -en principio- los automóviles no son domicilios para los efectos aquí expuestos, sin embargo, se puede dar el caso de aquellos habitáculos móviles remolcados, normalmente conocidos como roulottes, campers o autocaravanas, los cuales gozarán de protección constitucional cuando sean aptos para servir de auténtica vivienda.</w:t>
      </w:r>
    </w:p>
    <w:p w:rsidR="0066547D" w:rsidRPr="003565EB" w:rsidRDefault="0066547D" w:rsidP="0066547D">
      <w:pPr>
        <w:spacing w:before="160" w:after="160"/>
        <w:ind w:left="709" w:right="709"/>
        <w:jc w:val="both"/>
        <w:rPr>
          <w:rFonts w:ascii="Palatino Linotype" w:eastAsia="Arial Unicode MS" w:hAnsi="Palatino Linotype" w:cs="Arial"/>
          <w:i/>
          <w:sz w:val="22"/>
          <w:szCs w:val="22"/>
        </w:rPr>
      </w:pPr>
      <w:r w:rsidRPr="003565EB">
        <w:rPr>
          <w:rFonts w:ascii="Palatino Linotype" w:eastAsia="Arial Unicode MS" w:hAnsi="Palatino Linotype" w:cs="Arial"/>
          <w:i/>
          <w:sz w:val="22"/>
          <w:szCs w:val="22"/>
        </w:rPr>
        <w:t>Amparo directo en revisión 2420/</w:t>
      </w:r>
      <w:r w:rsidRPr="003565EB">
        <w:rPr>
          <w:rFonts w:ascii="Palatino Linotype" w:hAnsi="Palatino Linotype" w:cs="Arial"/>
          <w:i/>
          <w:sz w:val="22"/>
          <w:szCs w:val="22"/>
          <w:lang w:eastAsia="es-MX"/>
        </w:rPr>
        <w:t>2011</w:t>
      </w:r>
      <w:r w:rsidRPr="003565EB">
        <w:rPr>
          <w:rFonts w:ascii="Palatino Linotype" w:eastAsia="Arial Unicode MS" w:hAnsi="Palatino Linotype" w:cs="Arial"/>
          <w:i/>
          <w:sz w:val="22"/>
          <w:szCs w:val="22"/>
        </w:rPr>
        <w:t>. 11 de abril de 2012. Cinco votos. Ponente: Arturo Zaldívar Lelo de Larrea. Secretario: Javier Mijangos y González.”</w:t>
      </w:r>
      <w:r w:rsidR="00D10A1C" w:rsidRPr="003565EB">
        <w:rPr>
          <w:rFonts w:ascii="Palatino Linotype" w:eastAsia="Arial Unicode MS" w:hAnsi="Palatino Linotype" w:cs="Arial"/>
          <w:i/>
          <w:sz w:val="22"/>
          <w:szCs w:val="22"/>
        </w:rPr>
        <w:t xml:space="preserve"> (Sic)</w:t>
      </w:r>
    </w:p>
    <w:p w:rsidR="0066547D" w:rsidRPr="003565EB" w:rsidRDefault="0066547D" w:rsidP="0066547D">
      <w:pPr>
        <w:spacing w:before="100" w:beforeAutospacing="1" w:after="100" w:afterAutospacing="1" w:line="360" w:lineRule="auto"/>
        <w:ind w:right="51"/>
        <w:jc w:val="both"/>
        <w:rPr>
          <w:rFonts w:ascii="Palatino Linotype" w:eastAsiaTheme="minorEastAsia" w:hAnsi="Palatino Linotype" w:cs="Arial"/>
          <w:lang w:val="es-ES_tradnl"/>
        </w:rPr>
      </w:pPr>
      <w:r w:rsidRPr="003565EB">
        <w:rPr>
          <w:rFonts w:ascii="Palatino Linotype" w:eastAsiaTheme="minorEastAsia" w:hAnsi="Palatino Linotype" w:cs="Arial"/>
          <w:lang w:val="es-ES_tradnl"/>
        </w:rPr>
        <w:t xml:space="preserve">Consecuentemente, la entrega de documentos, en su versión pública, debe acompañarse necesariamente del Acuerdo del Comité de Transparencia que la </w:t>
      </w:r>
      <w:r w:rsidRPr="003565EB">
        <w:rPr>
          <w:rFonts w:ascii="Palatino Linotype" w:eastAsiaTheme="minorEastAsia" w:hAnsi="Palatino Linotype" w:cs="Arial"/>
          <w:lang w:val="es-ES_tradnl"/>
        </w:rPr>
        <w:lastRenderedPageBreak/>
        <w:t xml:space="preserve">sustente, en el que se expongan los fundamentos y razonamientos que llevaron al </w:t>
      </w:r>
      <w:r w:rsidRPr="003565EB">
        <w:rPr>
          <w:rFonts w:ascii="Palatino Linotype" w:eastAsiaTheme="minorEastAsia" w:hAnsi="Palatino Linotype" w:cs="Arial"/>
          <w:b/>
          <w:lang w:val="es-ES_tradnl"/>
        </w:rPr>
        <w:t>SUJETO OBLIGADO</w:t>
      </w:r>
      <w:r w:rsidRPr="003565EB">
        <w:rPr>
          <w:rFonts w:ascii="Palatino Linotype" w:eastAsiaTheme="minorEastAsia"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66547D" w:rsidRPr="003565EB" w:rsidRDefault="0066547D" w:rsidP="0066547D">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r w:rsidRPr="003565EB">
        <w:rPr>
          <w:rFonts w:ascii="Palatino Linotype" w:eastAsiaTheme="minorEastAsia" w:hAnsi="Palatino Linotype" w:cs="Arial"/>
          <w:lang w:val="es-ES_tradnl"/>
        </w:rPr>
        <w:t xml:space="preserve">Atento a ello y a efecto de </w:t>
      </w:r>
      <w:r w:rsidRPr="003565EB">
        <w:rPr>
          <w:rFonts w:ascii="Palatino Linotype" w:hAnsi="Palatino Linotype" w:cs="Arial"/>
        </w:rPr>
        <w:t>dar certeza jurídica al particular, privilegiando en todo momento el principio de la máxima publicidad</w:t>
      </w:r>
      <w:r w:rsidRPr="003565EB">
        <w:rPr>
          <w:rFonts w:ascii="Palatino Linotype" w:eastAsiaTheme="minorEastAsia" w:hAnsi="Palatino Linotype" w:cs="Arial"/>
          <w:lang w:val="es-ES_tradnl"/>
        </w:rPr>
        <w:t xml:space="preserve">, es dable determinar la información que deberá ser entregada por </w:t>
      </w:r>
      <w:r w:rsidRPr="003565EB">
        <w:rPr>
          <w:rFonts w:ascii="Palatino Linotype" w:eastAsiaTheme="minorEastAsia" w:hAnsi="Palatino Linotype" w:cs="Arial"/>
          <w:b/>
          <w:lang w:val="es-ES_tradnl"/>
        </w:rPr>
        <w:t>EL SUJETO OBLIGADO</w:t>
      </w:r>
      <w:r w:rsidRPr="003565EB">
        <w:rPr>
          <w:rFonts w:ascii="Palatino Linotype" w:eastAsiaTheme="minorEastAsia" w:hAnsi="Palatino Linotype" w:cs="Arial"/>
          <w:lang w:val="es-ES_tradnl"/>
        </w:rPr>
        <w:t>, de esta forma y acorde con la solicitud de información pública de origen, ésta se encuentra</w:t>
      </w:r>
      <w:r w:rsidR="00F01865" w:rsidRPr="003565EB">
        <w:rPr>
          <w:rFonts w:ascii="Palatino Linotype" w:eastAsiaTheme="minorEastAsia" w:hAnsi="Palatino Linotype" w:cs="Arial"/>
          <w:lang w:val="es-ES_tradnl"/>
        </w:rPr>
        <w:t xml:space="preserve"> especificada en los artículos </w:t>
      </w:r>
      <w:r w:rsidRPr="003565EB">
        <w:rPr>
          <w:rFonts w:ascii="Palatino Linotype" w:eastAsiaTheme="minorEastAsia" w:hAnsi="Palatino Linotype" w:cs="Arial"/>
          <w:lang w:val="es-ES_tradnl"/>
        </w:rPr>
        <w:t>6, fracción I y 18 de los Line</w:t>
      </w:r>
      <w:r w:rsidR="00D10A1C" w:rsidRPr="003565EB">
        <w:rPr>
          <w:rFonts w:ascii="Palatino Linotype" w:eastAsiaTheme="minorEastAsia" w:hAnsi="Palatino Linotype" w:cs="Arial"/>
          <w:lang w:val="es-ES_tradnl"/>
        </w:rPr>
        <w:t>amientos que Regulan la Entrega-</w:t>
      </w:r>
      <w:r w:rsidRPr="003565EB">
        <w:rPr>
          <w:rFonts w:ascii="Palatino Linotype" w:eastAsiaTheme="minorEastAsia" w:hAnsi="Palatino Linotype" w:cs="Arial"/>
          <w:lang w:val="es-ES_tradnl"/>
        </w:rPr>
        <w:t>Recepción de la Administración Pública Municipal del Estado de México, que a la letra señalan:</w:t>
      </w:r>
    </w:p>
    <w:p w:rsidR="00F01865" w:rsidRPr="003565EB" w:rsidRDefault="0066547D" w:rsidP="0066547D">
      <w:pPr>
        <w:widowControl w:val="0"/>
        <w:autoSpaceDE w:val="0"/>
        <w:autoSpaceDN w:val="0"/>
        <w:adjustRightInd w:val="0"/>
        <w:ind w:left="851" w:right="899"/>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b/>
          <w:i/>
          <w:sz w:val="22"/>
          <w:szCs w:val="22"/>
          <w:lang w:val="es-ES_tradnl"/>
        </w:rPr>
        <w:t>“</w:t>
      </w:r>
      <w:r w:rsidR="00F01865" w:rsidRPr="003565EB">
        <w:rPr>
          <w:rFonts w:ascii="Palatino Linotype" w:eastAsiaTheme="minorEastAsia" w:hAnsi="Palatino Linotype" w:cs="Arial"/>
          <w:b/>
          <w:i/>
          <w:sz w:val="22"/>
          <w:szCs w:val="22"/>
          <w:lang w:val="es-ES_tradnl"/>
        </w:rPr>
        <w:t>Artículo 6.</w:t>
      </w:r>
      <w:r w:rsidR="00F01865" w:rsidRPr="003565EB">
        <w:rPr>
          <w:rFonts w:ascii="Palatino Linotype" w:eastAsiaTheme="minorEastAsia" w:hAnsi="Palatino Linotype" w:cs="Arial"/>
          <w:i/>
          <w:sz w:val="22"/>
          <w:szCs w:val="22"/>
          <w:lang w:val="es-ES_tradnl"/>
        </w:rPr>
        <w:t xml:space="preserve"> </w:t>
      </w:r>
      <w:r w:rsidR="00F01865" w:rsidRPr="003565EB">
        <w:rPr>
          <w:rFonts w:ascii="Palatino Linotype" w:eastAsiaTheme="minorEastAsia" w:hAnsi="Palatino Linotype" w:cs="Arial"/>
          <w:b/>
          <w:i/>
          <w:sz w:val="22"/>
          <w:szCs w:val="22"/>
          <w:lang w:val="es-ES_tradnl"/>
        </w:rPr>
        <w:t>Las actas de entrega-recepción que deberán ser remitidas al Órgano Superior son las correspondientes a:</w:t>
      </w:r>
      <w:r w:rsidR="00F01865" w:rsidRPr="003565EB">
        <w:rPr>
          <w:rFonts w:ascii="Palatino Linotype" w:eastAsiaTheme="minorEastAsia" w:hAnsi="Palatino Linotype" w:cs="Arial"/>
          <w:i/>
          <w:sz w:val="22"/>
          <w:szCs w:val="22"/>
          <w:lang w:val="es-ES_tradnl"/>
        </w:rPr>
        <w:t xml:space="preserve"> </w:t>
      </w:r>
    </w:p>
    <w:p w:rsidR="00BC77E0" w:rsidRPr="003565EB" w:rsidRDefault="00F01865" w:rsidP="0066547D">
      <w:pPr>
        <w:widowControl w:val="0"/>
        <w:autoSpaceDE w:val="0"/>
        <w:autoSpaceDN w:val="0"/>
        <w:adjustRightInd w:val="0"/>
        <w:ind w:left="851" w:right="899"/>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b/>
          <w:i/>
          <w:sz w:val="22"/>
          <w:szCs w:val="22"/>
          <w:lang w:val="es-ES_tradnl"/>
        </w:rPr>
        <w:t>I. En los ayuntamientos:</w:t>
      </w:r>
      <w:r w:rsidRPr="003565EB">
        <w:rPr>
          <w:rFonts w:ascii="Palatino Linotype" w:eastAsiaTheme="minorEastAsia" w:hAnsi="Palatino Linotype" w:cs="Arial"/>
          <w:i/>
          <w:sz w:val="22"/>
          <w:szCs w:val="22"/>
          <w:lang w:val="es-ES_tradnl"/>
        </w:rPr>
        <w:t xml:space="preserve"> </w:t>
      </w:r>
    </w:p>
    <w:p w:rsidR="00BC77E0" w:rsidRPr="003565EB" w:rsidRDefault="00F01865" w:rsidP="0066547D">
      <w:pPr>
        <w:widowControl w:val="0"/>
        <w:autoSpaceDE w:val="0"/>
        <w:autoSpaceDN w:val="0"/>
        <w:adjustRightInd w:val="0"/>
        <w:ind w:left="851" w:right="899"/>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i/>
          <w:sz w:val="22"/>
          <w:szCs w:val="22"/>
          <w:lang w:val="es-ES_tradnl"/>
        </w:rPr>
        <w:t xml:space="preserve">a. Presidente municipal; </w:t>
      </w:r>
    </w:p>
    <w:p w:rsidR="00BC77E0" w:rsidRPr="003565EB" w:rsidRDefault="00F01865" w:rsidP="0066547D">
      <w:pPr>
        <w:widowControl w:val="0"/>
        <w:autoSpaceDE w:val="0"/>
        <w:autoSpaceDN w:val="0"/>
        <w:adjustRightInd w:val="0"/>
        <w:ind w:left="851" w:right="899"/>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i/>
          <w:sz w:val="22"/>
          <w:szCs w:val="22"/>
          <w:lang w:val="es-ES_tradnl"/>
        </w:rPr>
        <w:t xml:space="preserve">b. Síndico (s) municipal (es); </w:t>
      </w:r>
    </w:p>
    <w:p w:rsidR="00BC77E0" w:rsidRPr="003565EB" w:rsidRDefault="00F01865" w:rsidP="0066547D">
      <w:pPr>
        <w:widowControl w:val="0"/>
        <w:autoSpaceDE w:val="0"/>
        <w:autoSpaceDN w:val="0"/>
        <w:adjustRightInd w:val="0"/>
        <w:ind w:left="851" w:right="899"/>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i/>
          <w:sz w:val="22"/>
          <w:szCs w:val="22"/>
          <w:lang w:val="es-ES_tradnl"/>
        </w:rPr>
        <w:t xml:space="preserve">c. Regidores; </w:t>
      </w:r>
    </w:p>
    <w:p w:rsidR="00BC77E0" w:rsidRPr="003565EB" w:rsidRDefault="00F01865" w:rsidP="0066547D">
      <w:pPr>
        <w:widowControl w:val="0"/>
        <w:autoSpaceDE w:val="0"/>
        <w:autoSpaceDN w:val="0"/>
        <w:adjustRightInd w:val="0"/>
        <w:ind w:left="851" w:right="899"/>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i/>
          <w:sz w:val="22"/>
          <w:szCs w:val="22"/>
          <w:lang w:val="es-ES_tradnl"/>
        </w:rPr>
        <w:t xml:space="preserve">d. Secretario del ayuntamiento; </w:t>
      </w:r>
    </w:p>
    <w:p w:rsidR="00BC77E0" w:rsidRPr="003565EB" w:rsidRDefault="00F01865" w:rsidP="0066547D">
      <w:pPr>
        <w:widowControl w:val="0"/>
        <w:autoSpaceDE w:val="0"/>
        <w:autoSpaceDN w:val="0"/>
        <w:adjustRightInd w:val="0"/>
        <w:ind w:left="851" w:right="899"/>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i/>
          <w:sz w:val="22"/>
          <w:szCs w:val="22"/>
          <w:lang w:val="es-ES_tradnl"/>
        </w:rPr>
        <w:t xml:space="preserve">e. Tesorero municipal; </w:t>
      </w:r>
    </w:p>
    <w:p w:rsidR="00BC77E0" w:rsidRPr="003565EB" w:rsidRDefault="00F01865" w:rsidP="0066547D">
      <w:pPr>
        <w:widowControl w:val="0"/>
        <w:autoSpaceDE w:val="0"/>
        <w:autoSpaceDN w:val="0"/>
        <w:adjustRightInd w:val="0"/>
        <w:ind w:left="851" w:right="899"/>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i/>
          <w:sz w:val="22"/>
          <w:szCs w:val="22"/>
          <w:lang w:val="es-ES_tradnl"/>
        </w:rPr>
        <w:t>f. Director de administración o su equivalente;</w:t>
      </w:r>
    </w:p>
    <w:p w:rsidR="00BC77E0" w:rsidRPr="003565EB" w:rsidRDefault="00F01865" w:rsidP="0066547D">
      <w:pPr>
        <w:widowControl w:val="0"/>
        <w:autoSpaceDE w:val="0"/>
        <w:autoSpaceDN w:val="0"/>
        <w:adjustRightInd w:val="0"/>
        <w:ind w:left="851" w:right="899"/>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i/>
          <w:sz w:val="22"/>
          <w:szCs w:val="22"/>
          <w:lang w:val="es-ES_tradnl"/>
        </w:rPr>
        <w:t xml:space="preserve">g. Director de obras públicas o su equivalente; </w:t>
      </w:r>
    </w:p>
    <w:p w:rsidR="00BC77E0" w:rsidRPr="003565EB" w:rsidRDefault="00F01865" w:rsidP="0066547D">
      <w:pPr>
        <w:widowControl w:val="0"/>
        <w:autoSpaceDE w:val="0"/>
        <w:autoSpaceDN w:val="0"/>
        <w:adjustRightInd w:val="0"/>
        <w:ind w:left="851" w:right="899"/>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i/>
          <w:sz w:val="22"/>
          <w:szCs w:val="22"/>
          <w:lang w:val="es-ES_tradnl"/>
        </w:rPr>
        <w:t xml:space="preserve">h. Director de desarrollo económico o su equivalente; </w:t>
      </w:r>
    </w:p>
    <w:p w:rsidR="00BC77E0" w:rsidRPr="003565EB" w:rsidRDefault="00F01865" w:rsidP="0066547D">
      <w:pPr>
        <w:widowControl w:val="0"/>
        <w:autoSpaceDE w:val="0"/>
        <w:autoSpaceDN w:val="0"/>
        <w:adjustRightInd w:val="0"/>
        <w:ind w:left="851" w:right="899"/>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i/>
          <w:sz w:val="22"/>
          <w:szCs w:val="22"/>
          <w:lang w:val="es-ES_tradnl"/>
        </w:rPr>
        <w:t xml:space="preserve">i. Titular del órgano de control interno; </w:t>
      </w:r>
    </w:p>
    <w:p w:rsidR="00BC77E0" w:rsidRPr="003565EB" w:rsidRDefault="00F01865" w:rsidP="0066547D">
      <w:pPr>
        <w:widowControl w:val="0"/>
        <w:autoSpaceDE w:val="0"/>
        <w:autoSpaceDN w:val="0"/>
        <w:adjustRightInd w:val="0"/>
        <w:ind w:left="851" w:right="899"/>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i/>
          <w:sz w:val="22"/>
          <w:szCs w:val="22"/>
          <w:lang w:val="es-ES_tradnl"/>
        </w:rPr>
        <w:t xml:space="preserve">j. Titular de la unidad de información (Transparencia); </w:t>
      </w:r>
    </w:p>
    <w:p w:rsidR="00BC77E0" w:rsidRPr="003565EB" w:rsidRDefault="00F01865" w:rsidP="0066547D">
      <w:pPr>
        <w:widowControl w:val="0"/>
        <w:autoSpaceDE w:val="0"/>
        <w:autoSpaceDN w:val="0"/>
        <w:adjustRightInd w:val="0"/>
        <w:ind w:left="851" w:right="899"/>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i/>
          <w:sz w:val="22"/>
          <w:szCs w:val="22"/>
          <w:lang w:val="es-ES_tradnl"/>
        </w:rPr>
        <w:t xml:space="preserve">k. Director de catastro o su equivalente; </w:t>
      </w:r>
    </w:p>
    <w:p w:rsidR="00BC77E0" w:rsidRPr="003565EB" w:rsidRDefault="00F01865" w:rsidP="0066547D">
      <w:pPr>
        <w:widowControl w:val="0"/>
        <w:autoSpaceDE w:val="0"/>
        <w:autoSpaceDN w:val="0"/>
        <w:adjustRightInd w:val="0"/>
        <w:ind w:left="851" w:right="899"/>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i/>
          <w:sz w:val="22"/>
          <w:szCs w:val="22"/>
          <w:lang w:val="es-ES_tradnl"/>
        </w:rPr>
        <w:lastRenderedPageBreak/>
        <w:t xml:space="preserve">l. Director de protección civil o su equivalente; </w:t>
      </w:r>
    </w:p>
    <w:p w:rsidR="00BC77E0" w:rsidRPr="003565EB" w:rsidRDefault="00F01865" w:rsidP="0066547D">
      <w:pPr>
        <w:widowControl w:val="0"/>
        <w:autoSpaceDE w:val="0"/>
        <w:autoSpaceDN w:val="0"/>
        <w:adjustRightInd w:val="0"/>
        <w:ind w:left="851" w:right="899"/>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i/>
          <w:sz w:val="22"/>
          <w:szCs w:val="22"/>
          <w:lang w:val="es-ES_tradnl"/>
        </w:rPr>
        <w:t xml:space="preserve">m. Director de mejora regulatoria o su equivalente, y </w:t>
      </w:r>
    </w:p>
    <w:p w:rsidR="00F01865" w:rsidRPr="003565EB" w:rsidRDefault="00F01865" w:rsidP="0066547D">
      <w:pPr>
        <w:widowControl w:val="0"/>
        <w:autoSpaceDE w:val="0"/>
        <w:autoSpaceDN w:val="0"/>
        <w:adjustRightInd w:val="0"/>
        <w:ind w:left="851" w:right="899"/>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i/>
          <w:sz w:val="22"/>
          <w:szCs w:val="22"/>
          <w:lang w:val="es-ES_tradnl"/>
        </w:rPr>
        <w:t>n. Titulares de áreas a nivel dirección que se encuentren determinadas en la estructura orgánica administrativa de la entidad.</w:t>
      </w:r>
    </w:p>
    <w:p w:rsidR="00F01865" w:rsidRPr="003565EB" w:rsidRDefault="00F01865" w:rsidP="0066547D">
      <w:pPr>
        <w:widowControl w:val="0"/>
        <w:autoSpaceDE w:val="0"/>
        <w:autoSpaceDN w:val="0"/>
        <w:adjustRightInd w:val="0"/>
        <w:ind w:left="851" w:right="899"/>
        <w:jc w:val="both"/>
        <w:rPr>
          <w:rFonts w:ascii="Palatino Linotype" w:eastAsiaTheme="minorEastAsia" w:hAnsi="Palatino Linotype" w:cs="Arial"/>
          <w:b/>
          <w:i/>
          <w:sz w:val="22"/>
          <w:szCs w:val="22"/>
          <w:lang w:val="es-ES_tradnl"/>
        </w:rPr>
      </w:pPr>
    </w:p>
    <w:p w:rsidR="0066547D" w:rsidRPr="003565EB" w:rsidRDefault="0066547D" w:rsidP="0066547D">
      <w:pPr>
        <w:widowControl w:val="0"/>
        <w:autoSpaceDE w:val="0"/>
        <w:autoSpaceDN w:val="0"/>
        <w:adjustRightInd w:val="0"/>
        <w:ind w:left="851" w:right="899"/>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b/>
          <w:i/>
          <w:sz w:val="22"/>
          <w:szCs w:val="22"/>
          <w:lang w:val="es-ES_tradnl"/>
        </w:rPr>
        <w:t>Artículo 18.</w:t>
      </w:r>
      <w:r w:rsidRPr="003565EB">
        <w:rPr>
          <w:rFonts w:ascii="Palatino Linotype" w:eastAsiaTheme="minorEastAsia" w:hAnsi="Palatino Linotype" w:cs="Arial"/>
          <w:i/>
          <w:sz w:val="22"/>
          <w:szCs w:val="22"/>
          <w:lang w:val="es-ES_tradnl"/>
        </w:rPr>
        <w:t xml:space="preserve"> La documentación relativa al acta de entrega-recepción de la unidad administrativa de presidencia, generada en un acto por término de administración, será recabada por el servidor público comisionado.</w:t>
      </w:r>
    </w:p>
    <w:p w:rsidR="0066547D" w:rsidRPr="003565EB" w:rsidRDefault="0066547D" w:rsidP="0066547D">
      <w:pPr>
        <w:widowControl w:val="0"/>
        <w:autoSpaceDE w:val="0"/>
        <w:autoSpaceDN w:val="0"/>
        <w:adjustRightInd w:val="0"/>
        <w:ind w:left="851" w:right="899"/>
        <w:jc w:val="both"/>
        <w:rPr>
          <w:rFonts w:ascii="Palatino Linotype" w:eastAsiaTheme="minorEastAsia" w:hAnsi="Palatino Linotype" w:cs="Arial"/>
          <w:i/>
          <w:sz w:val="22"/>
          <w:szCs w:val="22"/>
          <w:lang w:val="es-ES_tradnl"/>
        </w:rPr>
      </w:pPr>
    </w:p>
    <w:p w:rsidR="0066547D" w:rsidRPr="003565EB" w:rsidRDefault="0066547D" w:rsidP="0066547D">
      <w:pPr>
        <w:ind w:left="851" w:right="899"/>
        <w:jc w:val="both"/>
        <w:rPr>
          <w:rFonts w:ascii="Palatino Linotype" w:eastAsiaTheme="minorEastAsia" w:hAnsi="Palatino Linotype" w:cs="Arial"/>
          <w:i/>
          <w:sz w:val="22"/>
          <w:szCs w:val="22"/>
          <w:lang w:val="es-ES_tradnl"/>
        </w:rPr>
      </w:pPr>
      <w:r w:rsidRPr="003565EB">
        <w:rPr>
          <w:rFonts w:ascii="Palatino Linotype" w:eastAsiaTheme="minorEastAsia" w:hAnsi="Palatino Linotype" w:cs="Arial"/>
          <w:b/>
          <w:i/>
          <w:sz w:val="22"/>
          <w:szCs w:val="22"/>
          <w:lang w:val="es-ES_tradnl"/>
        </w:rPr>
        <w:t>El titular del órgano de control interno o el síndico en su caso, deberá remitir al Órgano Superior, en un plazo no mayor a cinco días hábiles, contados a partir del día siguiente al de la suscripción del acta de entrega-recepción, la documentación relativa al acta de entrega-recepción de las unidades administrativas de las dependencias o entidades de la administración pública municipal</w:t>
      </w:r>
      <w:r w:rsidRPr="003565EB">
        <w:rPr>
          <w:rFonts w:ascii="Palatino Linotype" w:eastAsiaTheme="minorEastAsia" w:hAnsi="Palatino Linotype" w:cs="Arial"/>
          <w:i/>
          <w:sz w:val="22"/>
          <w:szCs w:val="22"/>
          <w:lang w:val="es-ES_tradnl"/>
        </w:rPr>
        <w:t>, de acuerdo a lo descrito en el artículo 6 de los presentes lineamientos.”</w:t>
      </w:r>
    </w:p>
    <w:p w:rsidR="00BC77E0" w:rsidRPr="003565EB" w:rsidRDefault="00BC77E0" w:rsidP="0066547D">
      <w:pPr>
        <w:ind w:left="851" w:right="899"/>
        <w:jc w:val="both"/>
        <w:rPr>
          <w:rFonts w:ascii="Palatino Linotype" w:eastAsiaTheme="minorEastAsia" w:hAnsi="Palatino Linotype" w:cs="Arial"/>
          <w:i/>
          <w:sz w:val="22"/>
          <w:szCs w:val="22"/>
          <w:lang w:val="es-ES_tradnl"/>
        </w:rPr>
      </w:pPr>
    </w:p>
    <w:p w:rsidR="0066547D" w:rsidRPr="003565EB" w:rsidRDefault="0066547D" w:rsidP="0066547D">
      <w:pPr>
        <w:ind w:left="851" w:right="899"/>
        <w:jc w:val="both"/>
        <w:rPr>
          <w:rFonts w:ascii="Palatino Linotype" w:hAnsi="Palatino Linotype" w:cs="Arial"/>
          <w:lang w:eastAsia="es-MX"/>
        </w:rPr>
      </w:pPr>
      <w:r w:rsidRPr="003565EB">
        <w:rPr>
          <w:rFonts w:ascii="Palatino Linotype" w:eastAsiaTheme="minorEastAsia" w:hAnsi="Palatino Linotype" w:cs="Arial"/>
          <w:i/>
          <w:sz w:val="22"/>
          <w:szCs w:val="22"/>
          <w:lang w:val="es-ES_tradnl"/>
        </w:rPr>
        <w:t>(Énfasis añadido)</w:t>
      </w:r>
    </w:p>
    <w:p w:rsidR="00D10A1C" w:rsidRPr="003565EB" w:rsidRDefault="00D10A1C" w:rsidP="00D10A1C">
      <w:pPr>
        <w:spacing w:before="240" w:after="240" w:line="360" w:lineRule="auto"/>
        <w:jc w:val="both"/>
        <w:rPr>
          <w:rFonts w:ascii="Palatino Linotype" w:hAnsi="Palatino Linotype"/>
        </w:rPr>
      </w:pPr>
      <w:r w:rsidRPr="003565EB">
        <w:rPr>
          <w:rFonts w:ascii="Palatino Linotype" w:hAnsi="Palatino Linotype"/>
        </w:rPr>
        <w:t xml:space="preserve">Por otra parte, se considera que las razones o motivos de inconformidad expuestas por la hoy </w:t>
      </w:r>
      <w:r w:rsidRPr="003565EB">
        <w:rPr>
          <w:rFonts w:ascii="Palatino Linotype" w:hAnsi="Palatino Linotype"/>
          <w:b/>
        </w:rPr>
        <w:t xml:space="preserve">RECURRENTE </w:t>
      </w:r>
      <w:r w:rsidRPr="003565EB">
        <w:rPr>
          <w:rFonts w:ascii="Palatino Linotype" w:hAnsi="Palatino Linotype"/>
        </w:rPr>
        <w:t xml:space="preserve">devienen </w:t>
      </w:r>
      <w:r w:rsidRPr="003565EB">
        <w:rPr>
          <w:rFonts w:ascii="Palatino Linotype" w:hAnsi="Palatino Linotype"/>
          <w:b/>
        </w:rPr>
        <w:t xml:space="preserve">parcialmente fundadas, </w:t>
      </w:r>
      <w:r w:rsidRPr="003565EB">
        <w:rPr>
          <w:rFonts w:ascii="Palatino Linotype" w:hAnsi="Palatino Linotype"/>
        </w:rPr>
        <w:t>toda vez expresó lo siguiente: “</w:t>
      </w:r>
      <w:r w:rsidRPr="003565EB">
        <w:rPr>
          <w:rFonts w:ascii="Palatino Linotype" w:hAnsi="Palatino Linotype"/>
          <w:i/>
        </w:rPr>
        <w:t>…</w:t>
      </w:r>
      <w:r w:rsidRPr="003565EB">
        <w:rPr>
          <w:rFonts w:ascii="Palatino Linotype" w:hAnsi="Palatino Linotype" w:cs="Arial"/>
          <w:i/>
        </w:rPr>
        <w:t>una clara muestra de desconocimiento de la Ley de Transparencia y Acceso a la Información Pública en Posesión de los Sujetos obligados, y violación a mi derecho a acceso a la misma</w:t>
      </w:r>
      <w:r w:rsidRPr="003565EB">
        <w:rPr>
          <w:rFonts w:ascii="Palatino Linotype" w:hAnsi="Palatino Linotype"/>
          <w:i/>
        </w:rPr>
        <w:t xml:space="preserve">…” (Sic), </w:t>
      </w:r>
      <w:r w:rsidRPr="003565EB">
        <w:rPr>
          <w:rFonts w:ascii="Palatino Linotype" w:hAnsi="Palatino Linotype"/>
        </w:rPr>
        <w:t xml:space="preserve">manifestaciones consideradas subjetivas, expresadas en el ejercicio </w:t>
      </w:r>
      <w:r w:rsidRPr="003565EB">
        <w:rPr>
          <w:rFonts w:ascii="Palatino Linotype" w:hAnsi="Palatino Linotype"/>
          <w:color w:val="000000"/>
        </w:rPr>
        <w:t xml:space="preserve">de su derecho a la libertad de expresión; por lo que, </w:t>
      </w:r>
      <w:r w:rsidRPr="003565EB">
        <w:rPr>
          <w:rFonts w:ascii="Palatino Linotype" w:hAnsi="Palatino Linotype" w:cs="Arial"/>
        </w:rPr>
        <w:t xml:space="preserve">resultan ser manifestaciones unilaterales, en virtud de que no es posible que tanto </w:t>
      </w:r>
      <w:r w:rsidRPr="003565EB">
        <w:rPr>
          <w:rFonts w:ascii="Palatino Linotype" w:hAnsi="Palatino Linotype" w:cs="Arial"/>
          <w:b/>
        </w:rPr>
        <w:t xml:space="preserve">EL SUJETO OBLIGADO </w:t>
      </w:r>
      <w:r w:rsidRPr="003565EB">
        <w:rPr>
          <w:rFonts w:ascii="Palatino Linotype" w:hAnsi="Palatino Linotype" w:cs="Arial"/>
        </w:rPr>
        <w:t xml:space="preserve">como este Órgano Garante puedan pronunciarse al respecto. </w:t>
      </w:r>
    </w:p>
    <w:p w:rsidR="0066547D" w:rsidRPr="003565EB" w:rsidRDefault="0089632B" w:rsidP="00BC77E0">
      <w:pPr>
        <w:spacing w:before="100" w:beforeAutospacing="1" w:after="100" w:afterAutospacing="1" w:line="360" w:lineRule="auto"/>
        <w:jc w:val="both"/>
        <w:rPr>
          <w:rFonts w:ascii="Palatino Linotype" w:hAnsi="Palatino Linotype" w:cs="Arial"/>
          <w:lang w:val="es-ES_tradnl"/>
        </w:rPr>
      </w:pPr>
      <w:r w:rsidRPr="003565EB">
        <w:rPr>
          <w:rFonts w:ascii="Palatino Linotype" w:hAnsi="Palatino Linotype" w:cs="Arial"/>
          <w:lang w:val="es-ES"/>
        </w:rPr>
        <w:t xml:space="preserve">Finalmente, </w:t>
      </w:r>
      <w:r w:rsidR="0066547D" w:rsidRPr="003565EB">
        <w:rPr>
          <w:rFonts w:ascii="Palatino Linotype" w:hAnsi="Palatino Linotype" w:cs="Arial"/>
          <w:lang w:val="es-ES"/>
        </w:rPr>
        <w:t xml:space="preserve">este Órgano Garante considera que la respuesta otorgada por parte del </w:t>
      </w:r>
      <w:r w:rsidR="0066547D" w:rsidRPr="003565EB">
        <w:rPr>
          <w:rFonts w:ascii="Palatino Linotype" w:hAnsi="Palatino Linotype" w:cs="Arial"/>
          <w:b/>
          <w:lang w:val="es-ES"/>
        </w:rPr>
        <w:t>SUJETO OBLIGADO</w:t>
      </w:r>
      <w:r w:rsidR="00D10A1C" w:rsidRPr="003565EB">
        <w:rPr>
          <w:rFonts w:ascii="Palatino Linotype" w:hAnsi="Palatino Linotype" w:cs="Arial"/>
          <w:lang w:val="es-ES"/>
        </w:rPr>
        <w:t>, no satisfizo</w:t>
      </w:r>
      <w:r w:rsidR="0066547D" w:rsidRPr="003565EB">
        <w:rPr>
          <w:rFonts w:ascii="Palatino Linotype" w:hAnsi="Palatino Linotype" w:cs="Arial"/>
          <w:lang w:val="es-ES"/>
        </w:rPr>
        <w:t xml:space="preserve"> el derecho de acceso a la información ejercido por </w:t>
      </w:r>
      <w:r w:rsidR="0066547D" w:rsidRPr="003565EB">
        <w:rPr>
          <w:rFonts w:ascii="Palatino Linotype" w:hAnsi="Palatino Linotype" w:cs="Arial"/>
          <w:b/>
          <w:lang w:val="es-ES"/>
        </w:rPr>
        <w:t>LA RECURRENTE</w:t>
      </w:r>
      <w:r w:rsidR="0066547D" w:rsidRPr="003565EB">
        <w:rPr>
          <w:rFonts w:ascii="Palatino Linotype" w:hAnsi="Palatino Linotype" w:cs="Arial"/>
          <w:lang w:val="es-ES"/>
        </w:rPr>
        <w:t xml:space="preserve">, razón por la cual el recurso de </w:t>
      </w:r>
      <w:r w:rsidR="00D10A1C" w:rsidRPr="003565EB">
        <w:rPr>
          <w:rFonts w:ascii="Palatino Linotype" w:hAnsi="Palatino Linotype" w:cs="Arial"/>
          <w:lang w:val="es-ES"/>
        </w:rPr>
        <w:t>revisión de que se trata resultó</w:t>
      </w:r>
      <w:r w:rsidR="0066547D" w:rsidRPr="003565EB">
        <w:rPr>
          <w:rFonts w:ascii="Palatino Linotype" w:hAnsi="Palatino Linotype" w:cs="Arial"/>
          <w:lang w:val="es-ES"/>
        </w:rPr>
        <w:t xml:space="preserve"> procedente</w:t>
      </w:r>
      <w:r w:rsidR="00D10A1C" w:rsidRPr="003565EB">
        <w:rPr>
          <w:rFonts w:ascii="Palatino Linotype" w:hAnsi="Palatino Linotype" w:cs="Arial"/>
          <w:lang w:val="es-ES"/>
        </w:rPr>
        <w:t>,</w:t>
      </w:r>
      <w:r w:rsidR="0066547D" w:rsidRPr="003565EB">
        <w:rPr>
          <w:rFonts w:ascii="Palatino Linotype" w:hAnsi="Palatino Linotype" w:cs="Arial"/>
          <w:lang w:val="es-ES"/>
        </w:rPr>
        <w:t xml:space="preserve"> de conformidad con el artículo 179, fracción II de la Ley de la materia; </w:t>
      </w:r>
      <w:r w:rsidR="0066547D" w:rsidRPr="003565EB">
        <w:rPr>
          <w:rFonts w:ascii="Palatino Linotype" w:hAnsi="Palatino Linotype" w:cs="Arial"/>
          <w:lang w:val="es-ES_tradnl"/>
        </w:rPr>
        <w:t xml:space="preserve">por lo que, de acuerdo con lo establecido en el diverso 186, fracción III del ordenamiento </w:t>
      </w:r>
      <w:r w:rsidR="0066547D" w:rsidRPr="003565EB">
        <w:rPr>
          <w:rFonts w:ascii="Palatino Linotype" w:hAnsi="Palatino Linotype" w:cs="Arial"/>
          <w:lang w:val="es-ES_tradnl"/>
        </w:rPr>
        <w:lastRenderedPageBreak/>
        <w:t xml:space="preserve">en cita, </w:t>
      </w:r>
      <w:r w:rsidR="00D10A1C" w:rsidRPr="003565EB">
        <w:rPr>
          <w:rFonts w:ascii="Palatino Linotype" w:hAnsi="Palatino Linotype" w:cs="Arial"/>
          <w:lang w:val="es-ES_tradnl"/>
        </w:rPr>
        <w:t xml:space="preserve">éste Instituto determina </w:t>
      </w:r>
      <w:r w:rsidR="0066547D" w:rsidRPr="003565EB">
        <w:rPr>
          <w:rFonts w:ascii="Palatino Linotype" w:hAnsi="Palatino Linotype" w:cs="Arial"/>
          <w:b/>
          <w:lang w:val="es-ES_tradnl"/>
        </w:rPr>
        <w:t xml:space="preserve">REVOCAR </w:t>
      </w:r>
      <w:r w:rsidR="0066547D" w:rsidRPr="003565EB">
        <w:rPr>
          <w:rFonts w:ascii="Palatino Linotype" w:hAnsi="Palatino Linotype" w:cs="Arial"/>
          <w:lang w:val="es-ES_tradnl"/>
        </w:rPr>
        <w:t>la respuesta del</w:t>
      </w:r>
      <w:r w:rsidR="0066547D" w:rsidRPr="003565EB">
        <w:rPr>
          <w:rFonts w:ascii="Palatino Linotype" w:hAnsi="Palatino Linotype" w:cs="Arial"/>
          <w:b/>
          <w:lang w:val="es-ES_tradnl"/>
        </w:rPr>
        <w:t xml:space="preserve"> SUJETO OBLIGADO </w:t>
      </w:r>
      <w:r w:rsidR="0066547D" w:rsidRPr="003565EB">
        <w:rPr>
          <w:rFonts w:ascii="Palatino Linotype" w:hAnsi="Palatino Linotype" w:cs="Arial"/>
          <w:lang w:val="es-ES_tradnl"/>
        </w:rPr>
        <w:t xml:space="preserve">y le ordena la entrega de las actas de entrega-recepción </w:t>
      </w:r>
      <w:r w:rsidR="0066547D" w:rsidRPr="003565EB">
        <w:rPr>
          <w:rFonts w:ascii="Palatino Linotype" w:hAnsi="Palatino Linotype"/>
        </w:rPr>
        <w:t xml:space="preserve">que se realizaron en todas las </w:t>
      </w:r>
      <w:r w:rsidR="00D10A1C" w:rsidRPr="003565EB">
        <w:rPr>
          <w:rFonts w:ascii="Palatino Linotype" w:hAnsi="Palatino Linotype"/>
        </w:rPr>
        <w:t>áreas</w:t>
      </w:r>
      <w:r w:rsidR="0066547D" w:rsidRPr="003565EB">
        <w:rPr>
          <w:rFonts w:ascii="Palatino Linotype" w:hAnsi="Palatino Linotype"/>
        </w:rPr>
        <w:t xml:space="preserve"> del Ayuntamiento, del 1 al 25 de enero de 2019</w:t>
      </w:r>
      <w:r w:rsidR="00D10A1C" w:rsidRPr="003565EB">
        <w:rPr>
          <w:rFonts w:ascii="Palatino Linotype" w:hAnsi="Palatino Linotype"/>
        </w:rPr>
        <w:t>,</w:t>
      </w:r>
      <w:r w:rsidR="0066547D" w:rsidRPr="003565EB">
        <w:rPr>
          <w:rFonts w:ascii="Palatino Linotype" w:hAnsi="Palatino Linotype" w:cs="Arial"/>
          <w:lang w:val="es-ES_tradnl"/>
        </w:rPr>
        <w:t xml:space="preserve"> en </w:t>
      </w:r>
      <w:r w:rsidR="0066547D" w:rsidRPr="003565EB">
        <w:rPr>
          <w:rFonts w:ascii="Palatino Linotype" w:hAnsi="Palatino Linotype" w:cs="Arial"/>
          <w:b/>
          <w:lang w:val="es-ES_tradnl"/>
        </w:rPr>
        <w:t xml:space="preserve">versión pública; </w:t>
      </w:r>
      <w:r w:rsidR="0066547D" w:rsidRPr="003565EB">
        <w:rPr>
          <w:rFonts w:ascii="Palatino Linotype" w:hAnsi="Palatino Linotype" w:cs="Arial"/>
          <w:lang w:val="es-ES_tradnl"/>
        </w:rPr>
        <w:t xml:space="preserve">acompañando la información </w:t>
      </w:r>
      <w:r w:rsidR="0066547D" w:rsidRPr="003565EB">
        <w:rPr>
          <w:rFonts w:ascii="Palatino Linotype" w:hAnsi="Palatino Linotype" w:cs="Arial"/>
          <w:lang w:val="es-ES"/>
        </w:rPr>
        <w:t xml:space="preserve">por el Acuerdo del Comité de Transparencia del </w:t>
      </w:r>
      <w:r w:rsidR="0066547D" w:rsidRPr="003565EB">
        <w:rPr>
          <w:rFonts w:ascii="Palatino Linotype" w:hAnsi="Palatino Linotype" w:cs="Arial"/>
          <w:b/>
          <w:lang w:val="es-ES"/>
        </w:rPr>
        <w:t xml:space="preserve">SUJETO OBLIGADO </w:t>
      </w:r>
      <w:r w:rsidR="0066547D" w:rsidRPr="003565EB">
        <w:rPr>
          <w:rFonts w:ascii="Palatino Linotype" w:hAnsi="Palatino Linotype" w:cs="Arial"/>
          <w:lang w:val="es-ES"/>
        </w:rPr>
        <w:t>que la sustente, en términos de Ley.</w:t>
      </w:r>
    </w:p>
    <w:p w:rsidR="0066547D" w:rsidRPr="003565EB" w:rsidRDefault="0066547D" w:rsidP="0066547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3565EB">
        <w:rPr>
          <w:rFonts w:ascii="Palatino Linotype" w:eastAsia="Calibri" w:hAnsi="Palatino Linotype" w:cs="Arial"/>
        </w:rPr>
        <w:t xml:space="preserve">Así, con </w:t>
      </w:r>
      <w:r w:rsidRPr="003565EB">
        <w:rPr>
          <w:rFonts w:ascii="Palatino Linotype" w:hAnsi="Palatino Linotype" w:cs="Arial"/>
        </w:rPr>
        <w:t>fundamento</w:t>
      </w:r>
      <w:r w:rsidRPr="003565EB">
        <w:rPr>
          <w:rFonts w:ascii="Palatino Linotype" w:eastAsia="Calibri" w:hAnsi="Palatino Linotype" w:cs="Arial"/>
        </w:rPr>
        <w:t xml:space="preserve"> en lo prescrito en los artículos 5, </w:t>
      </w:r>
      <w:r w:rsidRPr="003565EB">
        <w:rPr>
          <w:rFonts w:ascii="Palatino Linotype" w:hAnsi="Palatino Linotype"/>
        </w:rPr>
        <w:t xml:space="preserve">párrafos vigésimo, vigésimo primero y vigésimo </w:t>
      </w:r>
      <w:r w:rsidRPr="003565EB">
        <w:rPr>
          <w:rFonts w:ascii="Palatino Linotype" w:hAnsi="Palatino Linotype" w:cs="Arial"/>
        </w:rPr>
        <w:t>segundo,</w:t>
      </w:r>
      <w:r w:rsidRPr="003565EB">
        <w:rPr>
          <w:rFonts w:ascii="Palatino Linotype" w:hAnsi="Palatino Linotype"/>
        </w:rPr>
        <w:t xml:space="preserve"> </w:t>
      </w:r>
      <w:r w:rsidRPr="003565EB">
        <w:rPr>
          <w:rFonts w:ascii="Palatino Linotype" w:hAnsi="Palatino Linotype" w:cs="Arial"/>
        </w:rPr>
        <w:t>fracciones</w:t>
      </w:r>
      <w:r w:rsidRPr="003565EB">
        <w:rPr>
          <w:rFonts w:ascii="Palatino Linotype" w:hAnsi="Palatino Linotype"/>
        </w:rPr>
        <w:t xml:space="preserve"> IV y V,</w:t>
      </w:r>
      <w:r w:rsidRPr="003565EB">
        <w:rPr>
          <w:rFonts w:ascii="Palatino Linotype" w:eastAsia="Calibri" w:hAnsi="Palatino Linotype" w:cs="Arial"/>
        </w:rPr>
        <w:t xml:space="preserve"> de la Constitución Política del Estado Libre y Soberano de México y los artículos </w:t>
      </w:r>
      <w:r w:rsidRPr="003565EB">
        <w:rPr>
          <w:rFonts w:ascii="Palatino Linotype" w:hAnsi="Palatino Linotype"/>
        </w:rPr>
        <w:t xml:space="preserve">2, </w:t>
      </w:r>
      <w:r w:rsidRPr="003565EB">
        <w:rPr>
          <w:rFonts w:ascii="Palatino Linotype" w:hAnsi="Palatino Linotype" w:cs="Arial"/>
        </w:rPr>
        <w:t>fracción</w:t>
      </w:r>
      <w:r w:rsidRPr="003565EB">
        <w:rPr>
          <w:rFonts w:ascii="Palatino Linotype" w:hAnsi="Palatino Linotype"/>
        </w:rPr>
        <w:t xml:space="preserve"> II, 9, </w:t>
      </w:r>
      <w:r w:rsidRPr="003565EB">
        <w:rPr>
          <w:rFonts w:ascii="Palatino Linotype" w:hAnsi="Palatino Linotype" w:cs="Arial"/>
          <w:lang w:val="es-ES_tradnl"/>
        </w:rPr>
        <w:t>29</w:t>
      </w:r>
      <w:r w:rsidRPr="003565EB">
        <w:rPr>
          <w:rFonts w:ascii="Palatino Linotype" w:hAnsi="Palatino Linotype"/>
        </w:rPr>
        <w:t xml:space="preserve">, 36, fracciones I y II, 176, 178, 179, 181, 185, fracción I, 186 y 188 </w:t>
      </w:r>
      <w:r w:rsidRPr="003565EB">
        <w:rPr>
          <w:rFonts w:ascii="Palatino Linotype" w:eastAsia="Calibri" w:hAnsi="Palatino Linotype" w:cs="Arial"/>
        </w:rPr>
        <w:t xml:space="preserve">de la Ley de Transparencia y Acceso a la Información Pública del Estado de México y </w:t>
      </w:r>
      <w:r w:rsidRPr="003565EB">
        <w:rPr>
          <w:rFonts w:ascii="Palatino Linotype" w:hAnsi="Palatino Linotype" w:cs="Arial"/>
        </w:rPr>
        <w:t>Municipios</w:t>
      </w:r>
      <w:r w:rsidRPr="003565EB">
        <w:rPr>
          <w:rFonts w:ascii="Palatino Linotype" w:eastAsia="Calibri" w:hAnsi="Palatino Linotype" w:cs="Arial"/>
        </w:rPr>
        <w:t xml:space="preserve">, </w:t>
      </w:r>
      <w:r w:rsidRPr="003565EB">
        <w:rPr>
          <w:rFonts w:ascii="Palatino Linotype" w:hAnsi="Palatino Linotype"/>
        </w:rPr>
        <w:t>este</w:t>
      </w:r>
      <w:r w:rsidRPr="003565EB">
        <w:rPr>
          <w:rFonts w:ascii="Palatino Linotype" w:eastAsia="Calibri" w:hAnsi="Palatino Linotype" w:cs="Arial"/>
        </w:rPr>
        <w:t xml:space="preserve"> Pleno:</w:t>
      </w:r>
    </w:p>
    <w:p w:rsidR="0066547D" w:rsidRPr="003565EB" w:rsidRDefault="0066547D" w:rsidP="0066547D">
      <w:pPr>
        <w:spacing w:before="240" w:after="100" w:afterAutospacing="1" w:line="360" w:lineRule="auto"/>
        <w:jc w:val="center"/>
        <w:rPr>
          <w:rFonts w:ascii="Palatino Linotype" w:hAnsi="Palatino Linotype"/>
          <w:b/>
          <w:bCs/>
          <w:spacing w:val="60"/>
          <w:sz w:val="28"/>
        </w:rPr>
      </w:pPr>
      <w:r w:rsidRPr="003565EB">
        <w:rPr>
          <w:rFonts w:ascii="Palatino Linotype" w:hAnsi="Palatino Linotype"/>
          <w:b/>
          <w:bCs/>
          <w:spacing w:val="60"/>
          <w:sz w:val="28"/>
        </w:rPr>
        <w:t>RESUELVE</w:t>
      </w:r>
    </w:p>
    <w:p w:rsidR="0066547D" w:rsidRPr="003565EB" w:rsidRDefault="0066547D" w:rsidP="0066547D">
      <w:pPr>
        <w:pStyle w:val="Prrafodelista"/>
        <w:widowControl w:val="0"/>
        <w:numPr>
          <w:ilvl w:val="0"/>
          <w:numId w:val="6"/>
        </w:numPr>
        <w:tabs>
          <w:tab w:val="left" w:pos="1560"/>
        </w:tabs>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3565EB">
        <w:rPr>
          <w:rFonts w:ascii="Palatino Linotype" w:hAnsi="Palatino Linotype" w:cs="Arial"/>
        </w:rPr>
        <w:t xml:space="preserve">Resultan </w:t>
      </w:r>
      <w:r w:rsidR="0089632B" w:rsidRPr="003565EB">
        <w:rPr>
          <w:rFonts w:ascii="Palatino Linotype" w:hAnsi="Palatino Linotype" w:cs="Arial"/>
          <w:b/>
        </w:rPr>
        <w:t>parcialmente f</w:t>
      </w:r>
      <w:r w:rsidRPr="003565EB">
        <w:rPr>
          <w:rFonts w:ascii="Palatino Linotype" w:hAnsi="Palatino Linotype" w:cs="Arial"/>
          <w:b/>
        </w:rPr>
        <w:t>undadas</w:t>
      </w:r>
      <w:r w:rsidRPr="003565EB">
        <w:rPr>
          <w:rFonts w:ascii="Palatino Linotype" w:hAnsi="Palatino Linotype" w:cs="Arial"/>
        </w:rPr>
        <w:t xml:space="preserve"> las </w:t>
      </w:r>
      <w:r w:rsidRPr="003565EB">
        <w:rPr>
          <w:rFonts w:ascii="Palatino Linotype" w:hAnsi="Palatino Linotype"/>
          <w:shd w:val="clear" w:color="auto" w:fill="FFFFFF"/>
        </w:rPr>
        <w:t>razones</w:t>
      </w:r>
      <w:r w:rsidRPr="003565EB">
        <w:rPr>
          <w:rFonts w:ascii="Palatino Linotype" w:hAnsi="Palatino Linotype" w:cs="Arial"/>
        </w:rPr>
        <w:t xml:space="preserve"> o motivos de inconformidad hechas valer por </w:t>
      </w:r>
      <w:r w:rsidRPr="003565EB">
        <w:rPr>
          <w:rFonts w:ascii="Palatino Linotype" w:hAnsi="Palatino Linotype" w:cs="Arial"/>
          <w:b/>
        </w:rPr>
        <w:t>LA RECURRENTE,</w:t>
      </w:r>
      <w:r w:rsidRPr="003565EB">
        <w:rPr>
          <w:rFonts w:ascii="Palatino Linotype" w:hAnsi="Palatino Linotype" w:cs="Arial"/>
        </w:rPr>
        <w:t xml:space="preserve"> en términos del Considerando </w:t>
      </w:r>
      <w:r w:rsidRPr="003565EB">
        <w:rPr>
          <w:rFonts w:ascii="Palatino Linotype" w:hAnsi="Palatino Linotype" w:cs="Arial"/>
          <w:b/>
        </w:rPr>
        <w:t>QUINTO</w:t>
      </w:r>
      <w:r w:rsidRPr="003565EB">
        <w:rPr>
          <w:rFonts w:ascii="Palatino Linotype" w:hAnsi="Palatino Linotype" w:cs="Arial"/>
        </w:rPr>
        <w:t xml:space="preserve"> de la presente resolución.</w:t>
      </w:r>
    </w:p>
    <w:p w:rsidR="0066547D" w:rsidRPr="003565EB" w:rsidRDefault="0066547D" w:rsidP="0066547D">
      <w:pPr>
        <w:pStyle w:val="Prrafodelista"/>
        <w:widowControl w:val="0"/>
        <w:numPr>
          <w:ilvl w:val="0"/>
          <w:numId w:val="6"/>
        </w:numPr>
        <w:tabs>
          <w:tab w:val="left" w:pos="1843"/>
        </w:tabs>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3565EB">
        <w:rPr>
          <w:rFonts w:ascii="Palatino Linotype" w:eastAsia="Calibri" w:hAnsi="Palatino Linotype" w:cs="Arial"/>
        </w:rPr>
        <w:t xml:space="preserve">Se </w:t>
      </w:r>
      <w:r w:rsidRPr="003565EB">
        <w:rPr>
          <w:rFonts w:ascii="Palatino Linotype" w:eastAsia="Calibri" w:hAnsi="Palatino Linotype" w:cs="Arial"/>
          <w:b/>
        </w:rPr>
        <w:t xml:space="preserve">REVOCA </w:t>
      </w:r>
      <w:r w:rsidRPr="003565EB">
        <w:rPr>
          <w:rFonts w:ascii="Palatino Linotype" w:eastAsia="Calibri" w:hAnsi="Palatino Linotype" w:cs="Arial"/>
        </w:rPr>
        <w:t xml:space="preserve">la respuesta  proporcionada por </w:t>
      </w:r>
      <w:r w:rsidRPr="003565EB">
        <w:rPr>
          <w:rFonts w:ascii="Palatino Linotype" w:eastAsia="Calibri" w:hAnsi="Palatino Linotype" w:cs="Arial"/>
          <w:b/>
        </w:rPr>
        <w:t xml:space="preserve">EL SUJETO OBLIGADO </w:t>
      </w:r>
      <w:r w:rsidRPr="003565EB">
        <w:rPr>
          <w:rFonts w:ascii="Palatino Linotype" w:eastAsia="Calibri" w:hAnsi="Palatino Linotype" w:cs="Arial"/>
        </w:rPr>
        <w:t xml:space="preserve">y se </w:t>
      </w:r>
      <w:r w:rsidRPr="003565EB">
        <w:rPr>
          <w:rFonts w:ascii="Palatino Linotype" w:eastAsia="Calibri" w:hAnsi="Palatino Linotype" w:cs="Arial"/>
          <w:b/>
        </w:rPr>
        <w:t xml:space="preserve">ordena </w:t>
      </w:r>
      <w:r w:rsidRPr="003565EB">
        <w:rPr>
          <w:rFonts w:ascii="Palatino Linotype" w:eastAsia="Calibri" w:hAnsi="Palatino Linotype" w:cs="Arial"/>
        </w:rPr>
        <w:t xml:space="preserve">atienda la solicitud de información número </w:t>
      </w:r>
      <w:r w:rsidR="00D20ABE" w:rsidRPr="003565EB">
        <w:rPr>
          <w:rFonts w:ascii="Palatino Linotype" w:hAnsi="Palatino Linotype"/>
          <w:b/>
        </w:rPr>
        <w:t>00028</w:t>
      </w:r>
      <w:r w:rsidRPr="003565EB">
        <w:rPr>
          <w:rFonts w:ascii="Palatino Linotype" w:hAnsi="Palatino Linotype"/>
          <w:b/>
        </w:rPr>
        <w:t>/</w:t>
      </w:r>
      <w:r w:rsidR="00D20ABE" w:rsidRPr="003565EB">
        <w:rPr>
          <w:rFonts w:ascii="Palatino Linotype" w:hAnsi="Palatino Linotype"/>
          <w:b/>
        </w:rPr>
        <w:t>METEPEC</w:t>
      </w:r>
      <w:r w:rsidRPr="003565EB">
        <w:rPr>
          <w:rFonts w:ascii="Palatino Linotype" w:hAnsi="Palatino Linotype"/>
          <w:b/>
        </w:rPr>
        <w:t>/IP/2019</w:t>
      </w:r>
      <w:r w:rsidRPr="003565EB">
        <w:rPr>
          <w:rFonts w:ascii="Palatino Linotype" w:hAnsi="Palatino Linotype" w:cs="Arial"/>
        </w:rPr>
        <w:t xml:space="preserve">, en términos del Considerando </w:t>
      </w:r>
      <w:r w:rsidRPr="003565EB">
        <w:rPr>
          <w:rFonts w:ascii="Palatino Linotype" w:hAnsi="Palatino Linotype" w:cs="Arial"/>
          <w:b/>
        </w:rPr>
        <w:t>QUINTO</w:t>
      </w:r>
      <w:r w:rsidRPr="003565EB">
        <w:rPr>
          <w:rFonts w:ascii="Palatino Linotype" w:hAnsi="Palatino Linotype" w:cs="Arial"/>
        </w:rPr>
        <w:t xml:space="preserve"> y, haga entrega a </w:t>
      </w:r>
      <w:r w:rsidRPr="003565EB">
        <w:rPr>
          <w:rFonts w:ascii="Palatino Linotype" w:hAnsi="Palatino Linotype" w:cs="Arial"/>
          <w:b/>
        </w:rPr>
        <w:t>LA</w:t>
      </w:r>
      <w:r w:rsidRPr="003565EB">
        <w:rPr>
          <w:rFonts w:ascii="Palatino Linotype" w:hAnsi="Palatino Linotype" w:cs="Arial"/>
        </w:rPr>
        <w:t xml:space="preserve"> </w:t>
      </w:r>
      <w:r w:rsidRPr="003565EB">
        <w:rPr>
          <w:rFonts w:ascii="Palatino Linotype" w:hAnsi="Palatino Linotype" w:cs="Arial"/>
          <w:b/>
        </w:rPr>
        <w:t>RECURRENTE</w:t>
      </w:r>
      <w:r w:rsidRPr="003565EB">
        <w:rPr>
          <w:rFonts w:ascii="Palatino Linotype" w:hAnsi="Palatino Linotype" w:cs="Arial"/>
        </w:rPr>
        <w:t xml:space="preserve">, vía </w:t>
      </w:r>
      <w:r w:rsidRPr="003565EB">
        <w:rPr>
          <w:rFonts w:ascii="Palatino Linotype" w:hAnsi="Palatino Linotype" w:cs="Arial"/>
          <w:b/>
        </w:rPr>
        <w:t>SAIMEX</w:t>
      </w:r>
      <w:r w:rsidRPr="003565EB">
        <w:rPr>
          <w:rFonts w:ascii="Palatino Linotype" w:hAnsi="Palatino Linotype" w:cs="Arial"/>
        </w:rPr>
        <w:t xml:space="preserve">, en </w:t>
      </w:r>
      <w:r w:rsidRPr="003565EB">
        <w:rPr>
          <w:rFonts w:ascii="Palatino Linotype" w:hAnsi="Palatino Linotype" w:cs="Arial"/>
          <w:b/>
        </w:rPr>
        <w:t xml:space="preserve">versión pública </w:t>
      </w:r>
      <w:r w:rsidRPr="003565EB">
        <w:rPr>
          <w:rFonts w:ascii="Palatino Linotype" w:hAnsi="Palatino Linotype" w:cs="Arial"/>
        </w:rPr>
        <w:t>de</w:t>
      </w:r>
      <w:r w:rsidRPr="003565EB">
        <w:rPr>
          <w:rFonts w:ascii="Palatino Linotype" w:hAnsi="Palatino Linotype" w:cs="Arial"/>
          <w:b/>
        </w:rPr>
        <w:t xml:space="preserve"> </w:t>
      </w:r>
      <w:r w:rsidRPr="003565EB">
        <w:rPr>
          <w:rFonts w:ascii="Palatino Linotype" w:hAnsi="Palatino Linotype" w:cs="Arial"/>
          <w:lang w:val="es-ES"/>
        </w:rPr>
        <w:t>lo siguiente</w:t>
      </w:r>
      <w:r w:rsidRPr="003565EB">
        <w:rPr>
          <w:rFonts w:ascii="Palatino Linotype" w:hAnsi="Palatino Linotype"/>
          <w:shd w:val="clear" w:color="auto" w:fill="FFFFFF"/>
        </w:rPr>
        <w:t>:</w:t>
      </w:r>
    </w:p>
    <w:p w:rsidR="0066547D" w:rsidRPr="003565EB" w:rsidRDefault="0066547D" w:rsidP="00D20ABE">
      <w:pPr>
        <w:pStyle w:val="Prrafodelista"/>
        <w:spacing w:line="276" w:lineRule="auto"/>
        <w:ind w:left="851" w:right="902"/>
        <w:jc w:val="both"/>
        <w:rPr>
          <w:rFonts w:ascii="Palatino Linotype" w:hAnsi="Palatino Linotype" w:cs="Arial"/>
          <w:i/>
          <w:sz w:val="22"/>
          <w:szCs w:val="22"/>
          <w:lang w:eastAsia="es-MX"/>
        </w:rPr>
      </w:pPr>
      <w:r w:rsidRPr="003565EB">
        <w:rPr>
          <w:rFonts w:ascii="Palatino Linotype" w:hAnsi="Palatino Linotype" w:cs="Arial"/>
          <w:i/>
          <w:sz w:val="22"/>
          <w:szCs w:val="22"/>
          <w:lang w:eastAsia="es-MX"/>
        </w:rPr>
        <w:t>“Las actas de entrega-</w:t>
      </w:r>
      <w:r w:rsidR="00D20ABE" w:rsidRPr="003565EB">
        <w:rPr>
          <w:rFonts w:ascii="Palatino Linotype" w:hAnsi="Palatino Linotype" w:cs="Arial"/>
          <w:i/>
          <w:sz w:val="22"/>
          <w:szCs w:val="22"/>
          <w:lang w:eastAsia="es-MX"/>
        </w:rPr>
        <w:t xml:space="preserve">recepción </w:t>
      </w:r>
      <w:r w:rsidR="004E48DB" w:rsidRPr="003565EB">
        <w:rPr>
          <w:rFonts w:ascii="Palatino Linotype" w:hAnsi="Palatino Linotype" w:cs="Arial"/>
          <w:i/>
          <w:sz w:val="22"/>
          <w:szCs w:val="22"/>
          <w:lang w:eastAsia="es-MX"/>
        </w:rPr>
        <w:t xml:space="preserve">de la administración pública municipal 2019-2021 </w:t>
      </w:r>
      <w:r w:rsidR="00D20ABE" w:rsidRPr="003565EB">
        <w:rPr>
          <w:rFonts w:ascii="Palatino Linotype" w:hAnsi="Palatino Linotype" w:cs="Arial"/>
          <w:i/>
          <w:sz w:val="22"/>
          <w:szCs w:val="22"/>
          <w:lang w:eastAsia="es-MX"/>
        </w:rPr>
        <w:t>realizadas al 25 de enero de 2019.</w:t>
      </w:r>
    </w:p>
    <w:p w:rsidR="00D20ABE" w:rsidRPr="003565EB" w:rsidRDefault="00D20ABE" w:rsidP="00D20ABE">
      <w:pPr>
        <w:pStyle w:val="Prrafodelista"/>
        <w:spacing w:line="276" w:lineRule="auto"/>
        <w:ind w:left="851" w:right="902" w:hanging="142"/>
        <w:jc w:val="both"/>
        <w:rPr>
          <w:rFonts w:ascii="Palatino Linotype" w:hAnsi="Palatino Linotype" w:cs="Arial"/>
          <w:i/>
          <w:sz w:val="22"/>
          <w:szCs w:val="22"/>
          <w:lang w:eastAsia="es-MX"/>
        </w:rPr>
      </w:pPr>
    </w:p>
    <w:p w:rsidR="0066547D" w:rsidRPr="003565EB" w:rsidRDefault="0066547D" w:rsidP="0066547D">
      <w:pPr>
        <w:pStyle w:val="Prrafodelista"/>
        <w:spacing w:line="276" w:lineRule="auto"/>
        <w:ind w:left="851" w:right="902"/>
        <w:jc w:val="both"/>
        <w:rPr>
          <w:rFonts w:ascii="Palatino Linotype" w:hAnsi="Palatino Linotype" w:cs="Arial"/>
          <w:i/>
          <w:sz w:val="22"/>
          <w:szCs w:val="22"/>
        </w:rPr>
      </w:pPr>
      <w:r w:rsidRPr="003565EB">
        <w:rPr>
          <w:rFonts w:ascii="Palatino Linotype" w:hAnsi="Palatino Linotype" w:cs="Arial"/>
          <w:i/>
          <w:sz w:val="22"/>
          <w:szCs w:val="22"/>
          <w:lang w:eastAsia="es-MX"/>
        </w:rPr>
        <w:lastRenderedPageBreak/>
        <w:t>Debiendo</w:t>
      </w:r>
      <w:r w:rsidRPr="003565EB">
        <w:rPr>
          <w:rFonts w:ascii="Palatino Linotype" w:hAnsi="Palatino Linotype" w:cs="Arial"/>
          <w:i/>
          <w:sz w:val="22"/>
          <w:szCs w:val="22"/>
        </w:rPr>
        <w:t xml:space="preserve"> </w:t>
      </w:r>
      <w:r w:rsidRPr="003565EB">
        <w:rPr>
          <w:rFonts w:ascii="Palatino Linotype" w:hAnsi="Palatino Linotype" w:cs="Arial"/>
          <w:i/>
          <w:sz w:val="22"/>
          <w:szCs w:val="22"/>
          <w:lang w:eastAsia="es-MX"/>
        </w:rPr>
        <w:t>notificar</w:t>
      </w:r>
      <w:r w:rsidRPr="003565EB">
        <w:rPr>
          <w:rFonts w:ascii="Palatino Linotype" w:hAnsi="Palatino Linotype" w:cs="Arial"/>
          <w:i/>
          <w:sz w:val="22"/>
          <w:szCs w:val="22"/>
        </w:rPr>
        <w:t xml:space="preserve"> a </w:t>
      </w:r>
      <w:r w:rsidRPr="003565EB">
        <w:rPr>
          <w:rFonts w:ascii="Palatino Linotype" w:hAnsi="Palatino Linotype" w:cs="Arial"/>
          <w:b/>
          <w:i/>
          <w:sz w:val="22"/>
          <w:szCs w:val="22"/>
        </w:rPr>
        <w:t>LA</w:t>
      </w:r>
      <w:r w:rsidRPr="003565EB">
        <w:rPr>
          <w:rFonts w:ascii="Palatino Linotype" w:hAnsi="Palatino Linotype" w:cs="Arial"/>
          <w:i/>
          <w:sz w:val="22"/>
          <w:szCs w:val="22"/>
        </w:rPr>
        <w:t xml:space="preserve"> </w:t>
      </w:r>
      <w:r w:rsidRPr="003565EB">
        <w:rPr>
          <w:rFonts w:ascii="Palatino Linotype" w:hAnsi="Palatino Linotype" w:cs="Arial"/>
          <w:b/>
          <w:i/>
          <w:sz w:val="22"/>
          <w:szCs w:val="22"/>
        </w:rPr>
        <w:t>RECURRENTE</w:t>
      </w:r>
      <w:r w:rsidRPr="003565EB">
        <w:rPr>
          <w:rFonts w:ascii="Palatino Linotype" w:hAnsi="Palatino Linotype" w:cs="Arial"/>
          <w:sz w:val="22"/>
          <w:szCs w:val="22"/>
        </w:rPr>
        <w:t> </w:t>
      </w:r>
      <w:r w:rsidRPr="003565EB">
        <w:rPr>
          <w:rFonts w:ascii="Palatino Linotype" w:hAnsi="Palatino Linotype" w:cs="Arial"/>
          <w:i/>
          <w:sz w:val="22"/>
          <w:szCs w:val="22"/>
        </w:rPr>
        <w:t>el Acuerdo de Clasificación de la información, que emita el Comité de Transparencia, con motivo de la</w:t>
      </w:r>
      <w:r w:rsidR="0089632B" w:rsidRPr="003565EB">
        <w:rPr>
          <w:rFonts w:ascii="Palatino Linotype" w:hAnsi="Palatino Linotype" w:cs="Arial"/>
          <w:i/>
          <w:sz w:val="22"/>
          <w:szCs w:val="22"/>
        </w:rPr>
        <w:t>s versiones</w:t>
      </w:r>
      <w:r w:rsidRPr="003565EB">
        <w:rPr>
          <w:rFonts w:ascii="Palatino Linotype" w:hAnsi="Palatino Linotype" w:cs="Arial"/>
          <w:i/>
          <w:sz w:val="22"/>
          <w:szCs w:val="22"/>
        </w:rPr>
        <w:t xml:space="preserve"> pública</w:t>
      </w:r>
      <w:r w:rsidR="0089632B" w:rsidRPr="003565EB">
        <w:rPr>
          <w:rFonts w:ascii="Palatino Linotype" w:hAnsi="Palatino Linotype" w:cs="Arial"/>
          <w:i/>
          <w:sz w:val="22"/>
          <w:szCs w:val="22"/>
        </w:rPr>
        <w:t>s</w:t>
      </w:r>
      <w:r w:rsidRPr="003565EB">
        <w:rPr>
          <w:rFonts w:ascii="Palatino Linotype" w:hAnsi="Palatino Linotype" w:cs="Arial"/>
          <w:i/>
          <w:sz w:val="22"/>
          <w:szCs w:val="22"/>
        </w:rPr>
        <w:t xml:space="preserve">.” </w:t>
      </w:r>
    </w:p>
    <w:p w:rsidR="0066547D" w:rsidRPr="003565EB" w:rsidRDefault="0066547D" w:rsidP="0066547D">
      <w:pPr>
        <w:pStyle w:val="Prrafodelista"/>
        <w:widowControl w:val="0"/>
        <w:numPr>
          <w:ilvl w:val="0"/>
          <w:numId w:val="6"/>
        </w:numPr>
        <w:tabs>
          <w:tab w:val="left" w:pos="1560"/>
        </w:tabs>
        <w:autoSpaceDE w:val="0"/>
        <w:autoSpaceDN w:val="0"/>
        <w:adjustRightInd w:val="0"/>
        <w:spacing w:before="240" w:after="100" w:afterAutospacing="1" w:line="360" w:lineRule="auto"/>
        <w:ind w:left="0" w:firstLine="0"/>
        <w:contextualSpacing w:val="0"/>
        <w:jc w:val="both"/>
        <w:rPr>
          <w:rFonts w:ascii="Palatino Linotype" w:hAnsi="Palatino Linotype"/>
          <w:shd w:val="clear" w:color="auto" w:fill="FFFFFF"/>
        </w:rPr>
      </w:pPr>
      <w:r w:rsidRPr="003565EB">
        <w:rPr>
          <w:rFonts w:ascii="Palatino Linotype" w:hAnsi="Palatino Linotype"/>
          <w:b/>
          <w:szCs w:val="17"/>
          <w:lang w:eastAsia="es-ES_tradnl"/>
        </w:rPr>
        <w:t>Notifíquese</w:t>
      </w:r>
      <w:r w:rsidRPr="003565EB">
        <w:rPr>
          <w:rFonts w:ascii="Palatino Linotype" w:hAnsi="Palatino Linotype"/>
          <w:szCs w:val="17"/>
          <w:lang w:eastAsia="es-ES_tradnl"/>
        </w:rPr>
        <w:t xml:space="preserve"> </w:t>
      </w:r>
      <w:r w:rsidRPr="003565EB">
        <w:rPr>
          <w:rFonts w:ascii="Palatino Linotype" w:hAnsi="Palatino Linotype"/>
          <w:shd w:val="clear" w:color="auto" w:fill="FFFFFF"/>
        </w:rPr>
        <w:t xml:space="preserve">al </w:t>
      </w:r>
      <w:r w:rsidRPr="003565EB">
        <w:rPr>
          <w:rFonts w:ascii="Palatino Linotype" w:hAnsi="Palatino Linotype" w:cs="Arial"/>
        </w:rPr>
        <w:t>Titular</w:t>
      </w:r>
      <w:r w:rsidRPr="003565EB">
        <w:rPr>
          <w:rFonts w:ascii="Palatino Linotype" w:hAnsi="Palatino Linotype"/>
          <w:shd w:val="clear" w:color="auto" w:fill="FFFFFF"/>
        </w:rPr>
        <w:t xml:space="preserve"> de la Unidad de Transparencia del</w:t>
      </w:r>
      <w:r w:rsidRPr="003565EB">
        <w:rPr>
          <w:rStyle w:val="apple-converted-space"/>
          <w:rFonts w:ascii="Palatino Linotype" w:hAnsi="Palatino Linotype"/>
          <w:b/>
          <w:shd w:val="clear" w:color="auto" w:fill="FFFFFF"/>
        </w:rPr>
        <w:t xml:space="preserve"> </w:t>
      </w:r>
      <w:r w:rsidRPr="003565EB">
        <w:rPr>
          <w:rFonts w:ascii="Palatino Linotype" w:hAnsi="Palatino Linotype"/>
          <w:b/>
          <w:shd w:val="clear" w:color="auto" w:fill="FFFFFF"/>
        </w:rPr>
        <w:t>SUJETO OBLIGADO</w:t>
      </w:r>
      <w:r w:rsidRPr="003565EB">
        <w:rPr>
          <w:rFonts w:ascii="Palatino Linotype" w:hAnsi="Palatino Linotype"/>
          <w:shd w:val="clear" w:color="auto" w:fill="FFFFFF"/>
        </w:rPr>
        <w:t xml:space="preserve"> para que, </w:t>
      </w:r>
      <w:r w:rsidRPr="003565EB">
        <w:rPr>
          <w:rFonts w:ascii="Palatino Linotype" w:hAnsi="Palatino Linotype" w:cs="Arial"/>
        </w:rPr>
        <w:t>conforme</w:t>
      </w:r>
      <w:r w:rsidRPr="003565EB">
        <w:rPr>
          <w:rFonts w:ascii="Palatino Linotype" w:hAnsi="Palatino Linotype"/>
          <w:shd w:val="clear" w:color="auto" w:fill="FFFFFF"/>
        </w:rPr>
        <w:t xml:space="preserve"> a los artículos 186, último párrafo y 189, párrafo segundo de la Ley de </w:t>
      </w:r>
      <w:r w:rsidRPr="003565EB">
        <w:rPr>
          <w:rFonts w:ascii="Palatino Linotype" w:hAnsi="Palatino Linotype"/>
          <w:szCs w:val="17"/>
          <w:lang w:eastAsia="es-ES_tradnl"/>
        </w:rPr>
        <w:t>Transparencia</w:t>
      </w:r>
      <w:r w:rsidRPr="003565EB">
        <w:rPr>
          <w:rFonts w:ascii="Palatino Linotype" w:hAnsi="Palatino Linotype"/>
          <w:shd w:val="clear" w:color="auto" w:fill="FFFFFF"/>
        </w:rPr>
        <w:t xml:space="preserve"> y </w:t>
      </w:r>
      <w:r w:rsidRPr="003565EB">
        <w:rPr>
          <w:rFonts w:ascii="Palatino Linotype" w:hAnsi="Palatino Linotype" w:cs="Arial"/>
        </w:rPr>
        <w:t>Acceso</w:t>
      </w:r>
      <w:r w:rsidRPr="003565EB">
        <w:rPr>
          <w:rFonts w:ascii="Palatino Linotype" w:hAnsi="Palatino Linotype"/>
          <w:shd w:val="clear" w:color="auto" w:fill="FFFFFF"/>
        </w:rPr>
        <w:t xml:space="preserve"> a la Información Pública del Estado de México y Municipios, dé </w:t>
      </w:r>
      <w:r w:rsidRPr="003565EB">
        <w:rPr>
          <w:rFonts w:ascii="Palatino Linotype" w:hAnsi="Palatino Linotype" w:cs="Arial"/>
        </w:rPr>
        <w:t>cumplimiento</w:t>
      </w:r>
      <w:r w:rsidRPr="003565EB">
        <w:rPr>
          <w:rFonts w:ascii="Palatino Linotype" w:hAnsi="Palatino Linotype"/>
          <w:shd w:val="clear" w:color="auto" w:fill="FFFFFF"/>
        </w:rPr>
        <w:t xml:space="preserve"> a lo ordenado dentro del plazo de diez días hábiles, debiendo informar a este Instituto en un plazo </w:t>
      </w:r>
      <w:r w:rsidRPr="003565EB">
        <w:rPr>
          <w:rFonts w:ascii="Palatino Linotype" w:eastAsiaTheme="minorEastAsia" w:hAnsi="Palatino Linotype"/>
          <w:szCs w:val="17"/>
          <w:lang w:eastAsia="es-ES_tradnl"/>
        </w:rPr>
        <w:t>de</w:t>
      </w:r>
      <w:r w:rsidRPr="003565EB">
        <w:rPr>
          <w:rFonts w:ascii="Palatino Linotype" w:hAnsi="Palatino Linotype"/>
          <w:shd w:val="clear" w:color="auto" w:fill="FFFFFF"/>
        </w:rPr>
        <w:t xml:space="preserve"> tres días hábiles siguientes sobre el cumplimiento dado a la resolución.</w:t>
      </w:r>
    </w:p>
    <w:p w:rsidR="0066547D" w:rsidRPr="003565EB" w:rsidRDefault="0066547D" w:rsidP="0066547D">
      <w:pPr>
        <w:pStyle w:val="Prrafodelista"/>
        <w:widowControl w:val="0"/>
        <w:numPr>
          <w:ilvl w:val="0"/>
          <w:numId w:val="6"/>
        </w:numPr>
        <w:tabs>
          <w:tab w:val="left" w:pos="1560"/>
        </w:tabs>
        <w:autoSpaceDE w:val="0"/>
        <w:autoSpaceDN w:val="0"/>
        <w:adjustRightInd w:val="0"/>
        <w:spacing w:before="240" w:after="100" w:afterAutospacing="1" w:line="360" w:lineRule="auto"/>
        <w:ind w:left="0" w:firstLine="0"/>
        <w:contextualSpacing w:val="0"/>
        <w:jc w:val="both"/>
        <w:rPr>
          <w:rFonts w:ascii="Palatino Linotype" w:hAnsi="Palatino Linotype"/>
          <w:szCs w:val="17"/>
          <w:lang w:eastAsia="es-ES_tradnl"/>
        </w:rPr>
      </w:pPr>
      <w:r w:rsidRPr="003565EB">
        <w:rPr>
          <w:rFonts w:ascii="Palatino Linotype" w:hAnsi="Palatino Linotype"/>
          <w:b/>
          <w:szCs w:val="17"/>
          <w:lang w:eastAsia="es-ES_tradnl"/>
        </w:rPr>
        <w:t>Notifíquese</w:t>
      </w:r>
      <w:r w:rsidRPr="003565EB">
        <w:rPr>
          <w:rFonts w:ascii="Palatino Linotype" w:hAnsi="Palatino Linotype"/>
          <w:szCs w:val="17"/>
          <w:lang w:eastAsia="es-ES_tradnl"/>
        </w:rPr>
        <w:t xml:space="preserve"> a  </w:t>
      </w:r>
      <w:r w:rsidRPr="003565EB">
        <w:rPr>
          <w:rFonts w:ascii="Palatino Linotype" w:hAnsi="Palatino Linotype"/>
          <w:b/>
          <w:szCs w:val="17"/>
          <w:lang w:eastAsia="es-ES_tradnl"/>
        </w:rPr>
        <w:t xml:space="preserve">LA </w:t>
      </w:r>
      <w:r w:rsidRPr="003565EB">
        <w:rPr>
          <w:rFonts w:ascii="Palatino Linotype" w:hAnsi="Palatino Linotype" w:cs="Arial"/>
          <w:b/>
        </w:rPr>
        <w:t>RECURRENTE</w:t>
      </w:r>
      <w:r w:rsidRPr="003565EB">
        <w:rPr>
          <w:rFonts w:ascii="Palatino Linotype" w:hAnsi="Palatino Linotype"/>
          <w:szCs w:val="17"/>
          <w:lang w:eastAsia="es-ES_tradnl"/>
        </w:rPr>
        <w:t xml:space="preserve"> la </w:t>
      </w:r>
      <w:r w:rsidRPr="003565EB">
        <w:rPr>
          <w:rFonts w:ascii="Palatino Linotype" w:hAnsi="Palatino Linotype" w:cs="Arial"/>
        </w:rPr>
        <w:t>presente</w:t>
      </w:r>
      <w:r w:rsidRPr="003565EB">
        <w:rPr>
          <w:rFonts w:ascii="Palatino Linotype" w:hAnsi="Palatino Linotype"/>
          <w:szCs w:val="17"/>
          <w:lang w:eastAsia="es-ES_tradnl"/>
        </w:rPr>
        <w:t xml:space="preserve"> </w:t>
      </w:r>
      <w:r w:rsidRPr="003565EB">
        <w:rPr>
          <w:rFonts w:ascii="Palatino Linotype" w:hAnsi="Palatino Linotype"/>
          <w:shd w:val="clear" w:color="auto" w:fill="FFFFFF"/>
        </w:rPr>
        <w:t>resolución</w:t>
      </w:r>
      <w:r w:rsidRPr="003565EB">
        <w:rPr>
          <w:rFonts w:ascii="Palatino Linotype" w:hAnsi="Palatino Linotype"/>
          <w:szCs w:val="17"/>
          <w:lang w:eastAsia="es-ES_tradnl"/>
        </w:rPr>
        <w:t>.</w:t>
      </w:r>
    </w:p>
    <w:p w:rsidR="0066547D" w:rsidRPr="003565EB" w:rsidRDefault="0066547D" w:rsidP="0066547D">
      <w:pPr>
        <w:pStyle w:val="Prrafodelista"/>
        <w:widowControl w:val="0"/>
        <w:numPr>
          <w:ilvl w:val="0"/>
          <w:numId w:val="6"/>
        </w:numPr>
        <w:tabs>
          <w:tab w:val="left" w:pos="1560"/>
        </w:tabs>
        <w:autoSpaceDE w:val="0"/>
        <w:autoSpaceDN w:val="0"/>
        <w:adjustRightInd w:val="0"/>
        <w:spacing w:before="240" w:after="100" w:afterAutospacing="1" w:line="360" w:lineRule="auto"/>
        <w:ind w:left="0" w:firstLine="0"/>
        <w:contextualSpacing w:val="0"/>
        <w:jc w:val="both"/>
        <w:rPr>
          <w:rFonts w:ascii="Palatino Linotype" w:hAnsi="Palatino Linotype"/>
          <w:szCs w:val="17"/>
          <w:lang w:eastAsia="es-ES_tradnl"/>
        </w:rPr>
      </w:pPr>
      <w:r w:rsidRPr="003565EB">
        <w:rPr>
          <w:rFonts w:ascii="Palatino Linotype" w:hAnsi="Palatino Linotype"/>
          <w:b/>
          <w:szCs w:val="17"/>
          <w:lang w:eastAsia="es-ES_tradnl"/>
        </w:rPr>
        <w:t>Hágase</w:t>
      </w:r>
      <w:r w:rsidRPr="003565EB">
        <w:rPr>
          <w:rFonts w:ascii="Palatino Linotype" w:hAnsi="Palatino Linotype"/>
          <w:szCs w:val="17"/>
          <w:lang w:eastAsia="es-ES_tradnl"/>
        </w:rPr>
        <w:t xml:space="preserve"> </w:t>
      </w:r>
      <w:r w:rsidRPr="003565EB">
        <w:rPr>
          <w:rFonts w:ascii="Palatino Linotype" w:hAnsi="Palatino Linotype"/>
          <w:b/>
          <w:szCs w:val="17"/>
          <w:lang w:eastAsia="es-ES_tradnl"/>
        </w:rPr>
        <w:t>del conocimiento</w:t>
      </w:r>
      <w:r w:rsidRPr="003565EB">
        <w:rPr>
          <w:rFonts w:ascii="Palatino Linotype" w:hAnsi="Palatino Linotype"/>
          <w:szCs w:val="17"/>
          <w:lang w:eastAsia="es-ES_tradnl"/>
        </w:rPr>
        <w:t xml:space="preserve"> </w:t>
      </w:r>
      <w:r w:rsidRPr="003565EB">
        <w:rPr>
          <w:rFonts w:ascii="Palatino Linotype" w:hAnsi="Palatino Linotype"/>
        </w:rPr>
        <w:t xml:space="preserve">de </w:t>
      </w:r>
      <w:r w:rsidRPr="003565EB">
        <w:rPr>
          <w:rFonts w:ascii="Palatino Linotype" w:hAnsi="Palatino Linotype"/>
          <w:b/>
        </w:rPr>
        <w:t>LA</w:t>
      </w:r>
      <w:r w:rsidRPr="003565EB">
        <w:rPr>
          <w:rFonts w:ascii="Palatino Linotype" w:hAnsi="Palatino Linotype"/>
        </w:rPr>
        <w:t xml:space="preserve"> </w:t>
      </w:r>
      <w:r w:rsidRPr="003565EB">
        <w:rPr>
          <w:rFonts w:ascii="Palatino Linotype" w:hAnsi="Palatino Linotype" w:cs="Arial"/>
          <w:b/>
        </w:rPr>
        <w:t>RECURRENTE</w:t>
      </w:r>
      <w:r w:rsidRPr="003565EB">
        <w:rPr>
          <w:rFonts w:ascii="Palatino Linotype" w:hAnsi="Palatino Linotype"/>
        </w:rPr>
        <w:t xml:space="preserve"> </w:t>
      </w:r>
      <w:r w:rsidRPr="003565EB">
        <w:rPr>
          <w:rFonts w:ascii="Palatino Linotype" w:hAnsi="Palatino Linotype"/>
          <w:szCs w:val="17"/>
          <w:lang w:eastAsia="es-ES_tradnl"/>
        </w:rPr>
        <w:t xml:space="preserve">que, de conformidad </w:t>
      </w:r>
      <w:r w:rsidRPr="003565EB">
        <w:rPr>
          <w:rFonts w:ascii="Palatino Linotype" w:hAnsi="Palatino Linotype" w:cs="Arial"/>
        </w:rPr>
        <w:t>con</w:t>
      </w:r>
      <w:r w:rsidRPr="003565EB">
        <w:rPr>
          <w:rFonts w:ascii="Palatino Linotype" w:hAnsi="Palatino Linotype"/>
          <w:szCs w:val="17"/>
          <w:lang w:eastAsia="es-ES_tradnl"/>
        </w:rPr>
        <w:t xml:space="preserve"> lo </w:t>
      </w:r>
      <w:r w:rsidRPr="003565EB">
        <w:rPr>
          <w:rFonts w:ascii="Palatino Linotype" w:hAnsi="Palatino Linotype" w:cs="Arial"/>
        </w:rPr>
        <w:t>establecido</w:t>
      </w:r>
      <w:r w:rsidRPr="003565EB">
        <w:rPr>
          <w:rFonts w:ascii="Palatino Linotype" w:hAnsi="Palatino Linotype"/>
          <w:szCs w:val="17"/>
          <w:lang w:eastAsia="es-ES_tradnl"/>
        </w:rPr>
        <w:t xml:space="preserve"> en el artículo 196 de la Ley de </w:t>
      </w:r>
      <w:r w:rsidRPr="003565EB">
        <w:rPr>
          <w:rFonts w:ascii="Palatino Linotype" w:hAnsi="Palatino Linotype" w:cs="Arial"/>
        </w:rPr>
        <w:t>Transparencia</w:t>
      </w:r>
      <w:r w:rsidRPr="003565EB">
        <w:rPr>
          <w:rFonts w:ascii="Palatino Linotype" w:hAnsi="Palatino Linotype"/>
          <w:szCs w:val="17"/>
          <w:lang w:eastAsia="es-ES_tradnl"/>
        </w:rPr>
        <w:t xml:space="preserve"> y </w:t>
      </w:r>
      <w:r w:rsidRPr="003565EB">
        <w:rPr>
          <w:rFonts w:ascii="Palatino Linotype" w:hAnsi="Palatino Linotype" w:cs="Arial"/>
        </w:rPr>
        <w:t>Acceso</w:t>
      </w:r>
      <w:r w:rsidRPr="003565EB">
        <w:rPr>
          <w:rFonts w:ascii="Palatino Linotype" w:hAnsi="Palatino Linotype"/>
          <w:szCs w:val="17"/>
          <w:lang w:eastAsia="es-ES_tradnl"/>
        </w:rPr>
        <w:t xml:space="preserve"> a la Información </w:t>
      </w:r>
      <w:r w:rsidRPr="003565EB">
        <w:rPr>
          <w:rFonts w:ascii="Palatino Linotype" w:hAnsi="Palatino Linotype"/>
          <w:lang w:eastAsia="es-ES_tradnl"/>
        </w:rPr>
        <w:t>Pública</w:t>
      </w:r>
      <w:r w:rsidRPr="003565EB">
        <w:rPr>
          <w:rFonts w:ascii="Palatino Linotype" w:hAnsi="Palatino Linotype"/>
          <w:szCs w:val="17"/>
          <w:lang w:eastAsia="es-ES_tradnl"/>
        </w:rPr>
        <w:t xml:space="preserve"> del Estado de México y Municipios, podrá impugnarla vía Juicio de Amparo en los términos de las leyes aplicables.</w:t>
      </w:r>
    </w:p>
    <w:p w:rsidR="009D06E5" w:rsidRPr="009D06E5" w:rsidRDefault="009D06E5" w:rsidP="009D06E5">
      <w:pPr>
        <w:widowControl w:val="0"/>
        <w:autoSpaceDE w:val="0"/>
        <w:autoSpaceDN w:val="0"/>
        <w:adjustRightInd w:val="0"/>
        <w:spacing w:line="360" w:lineRule="auto"/>
        <w:jc w:val="both"/>
        <w:rPr>
          <w:rFonts w:ascii="Palatino Linotype" w:hAnsi="Palatino Linotype"/>
        </w:rPr>
      </w:pPr>
      <w:r w:rsidRPr="009D06E5">
        <w:rPr>
          <w:rFonts w:ascii="Palatino Linotype" w:hAnsi="Palatino Linotype" w:cs="Arial"/>
        </w:rPr>
        <w:t>ASÍ LO RESUELVE, POR UNANIMIDAD DE VOTOS, EL PLENO DEL</w:t>
      </w:r>
      <w:r w:rsidRPr="009D06E5">
        <w:rPr>
          <w:rFonts w:ascii="Palatino Linotype" w:eastAsia="Arial Unicode MS" w:hAnsi="Palatino Linotype" w:cs="Arial"/>
        </w:rPr>
        <w:t xml:space="preserve"> INSTITUTO DE TRANSPARENCIA, ACCESO A LA INFORMACIÓN PÚBLICA Y PROTECCIÓN DE DATOS PERSONALES DEL ESTADO DE MÉXICO Y MUNICIPIOS</w:t>
      </w:r>
      <w:r w:rsidRPr="009D06E5">
        <w:rPr>
          <w:rFonts w:ascii="Palatino Linotype" w:hAnsi="Palatino Linotype" w:cs="Arial"/>
        </w:rPr>
        <w:t xml:space="preserve">, CONFORMADO POR LOS COMISIONADOS ZULEMA MARTÍNEZ SÁNCHEZ; EVA ABAID YAPUR; JOSÉ GUADALUPE LUNA HERNÁNDEZ CON AUSENCIA JUSTIFICADA; JAVIER MARTÍNEZ CRUZ Y LUIS GUSTAVO PARRA NORIEGA; EN LA DÉCIMA CUARTA SESIÓN ORDINARIA CELEBRADA EL DIEZ DE ABRIL DE DOS MIL DIECINUEVE, ANTE EL SECRETARIO TÉCNICO DEL PLENO, </w:t>
      </w:r>
      <w:r w:rsidRPr="009D06E5">
        <w:rPr>
          <w:rFonts w:ascii="Palatino Linotype" w:hAnsi="Palatino Linotype"/>
          <w:lang w:val="es-ES_tradnl"/>
        </w:rPr>
        <w:t>ALEXIS TAPIA RAMÍREZ</w:t>
      </w:r>
      <w:r w:rsidRPr="009D06E5">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9D06E5" w:rsidTr="009D06E5">
        <w:trPr>
          <w:jc w:val="center"/>
        </w:trPr>
        <w:tc>
          <w:tcPr>
            <w:tcW w:w="10368" w:type="dxa"/>
            <w:gridSpan w:val="2"/>
          </w:tcPr>
          <w:p w:rsidR="009D06E5" w:rsidRDefault="009D06E5">
            <w:pPr>
              <w:spacing w:line="256" w:lineRule="auto"/>
              <w:jc w:val="center"/>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9D06E5" w:rsidRDefault="009D06E5">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9D06E5" w:rsidRDefault="009D06E5">
            <w:pPr>
              <w:spacing w:line="256" w:lineRule="auto"/>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9D06E5" w:rsidTr="009D06E5">
        <w:trPr>
          <w:jc w:val="center"/>
        </w:trPr>
        <w:tc>
          <w:tcPr>
            <w:tcW w:w="5184" w:type="dxa"/>
          </w:tcPr>
          <w:p w:rsidR="009D06E5" w:rsidRDefault="009D06E5">
            <w:pPr>
              <w:spacing w:line="256" w:lineRule="auto"/>
              <w:jc w:val="center"/>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9D06E5" w:rsidRDefault="009D06E5">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9D06E5" w:rsidRDefault="009D06E5">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9D06E5" w:rsidRDefault="009D06E5">
            <w:pPr>
              <w:spacing w:line="256" w:lineRule="auto"/>
              <w:jc w:val="center"/>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r>
              <w:rPr>
                <w:rFonts w:ascii="Palatino Linotype" w:hAnsi="Palatino Linotype" w:cs="Arial"/>
                <w:b/>
                <w:lang w:val="es-ES_tradnl"/>
              </w:rPr>
              <w:t>Ausencia Justificada</w:t>
            </w:r>
          </w:p>
          <w:p w:rsidR="009D06E5" w:rsidRDefault="009D06E5">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9D06E5" w:rsidRDefault="009D06E5">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9D06E5" w:rsidRDefault="009D06E5">
            <w:pPr>
              <w:spacing w:line="256" w:lineRule="auto"/>
              <w:jc w:val="center"/>
              <w:rPr>
                <w:rFonts w:ascii="Palatino Linotype" w:hAnsi="Palatino Linotype" w:cs="Arial"/>
                <w:b/>
                <w:lang w:val="es-ES_tradnl"/>
              </w:rPr>
            </w:pPr>
          </w:p>
        </w:tc>
      </w:tr>
      <w:tr w:rsidR="009D06E5" w:rsidTr="009D06E5">
        <w:trPr>
          <w:jc w:val="center"/>
        </w:trPr>
        <w:tc>
          <w:tcPr>
            <w:tcW w:w="5184" w:type="dxa"/>
          </w:tcPr>
          <w:p w:rsidR="009D06E5" w:rsidRDefault="009D06E5">
            <w:pPr>
              <w:spacing w:line="256" w:lineRule="auto"/>
              <w:jc w:val="center"/>
              <w:rPr>
                <w:rFonts w:ascii="Palatino Linotype" w:hAnsi="Palatino Linotype" w:cs="Arial"/>
                <w:b/>
                <w:lang w:val="es-ES_tradnl"/>
              </w:rPr>
            </w:pPr>
          </w:p>
          <w:p w:rsidR="009D06E5" w:rsidRDefault="009D06E5">
            <w:pPr>
              <w:spacing w:line="256" w:lineRule="auto"/>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9D06E5" w:rsidRDefault="009D06E5">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9D06E5" w:rsidRDefault="009D06E5">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9D06E5" w:rsidRDefault="009D06E5">
            <w:pPr>
              <w:spacing w:line="256" w:lineRule="auto"/>
              <w:jc w:val="center"/>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p>
          <w:p w:rsidR="009D06E5" w:rsidRDefault="009D06E5">
            <w:pPr>
              <w:spacing w:line="256" w:lineRule="auto"/>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9D06E5" w:rsidRDefault="009D06E5">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9D06E5" w:rsidRDefault="009D06E5">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r>
      <w:tr w:rsidR="009D06E5" w:rsidTr="009D06E5">
        <w:trPr>
          <w:jc w:val="center"/>
        </w:trPr>
        <w:tc>
          <w:tcPr>
            <w:tcW w:w="10368" w:type="dxa"/>
            <w:gridSpan w:val="2"/>
          </w:tcPr>
          <w:p w:rsidR="009D06E5" w:rsidRDefault="009D06E5">
            <w:pPr>
              <w:spacing w:line="256" w:lineRule="auto"/>
              <w:jc w:val="center"/>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p>
          <w:p w:rsidR="009D06E5" w:rsidRDefault="009D06E5">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9D06E5" w:rsidRDefault="009D06E5">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9D06E5" w:rsidRDefault="009D06E5">
            <w:pPr>
              <w:spacing w:line="256" w:lineRule="auto"/>
              <w:jc w:val="center"/>
              <w:rPr>
                <w:rFonts w:ascii="Palatino Linotype" w:hAnsi="Palatino Linotype" w:cs="Arial"/>
                <w:lang w:val="es-ES_tradnl"/>
              </w:rPr>
            </w:pPr>
            <w:r>
              <w:rPr>
                <w:rFonts w:ascii="Palatino Linotype" w:hAnsi="Palatino Linotype" w:cs="Arial"/>
                <w:b/>
                <w:lang w:val="es-ES_tradnl"/>
              </w:rPr>
              <w:t>(RÚBRICA)</w:t>
            </w:r>
          </w:p>
        </w:tc>
      </w:tr>
    </w:tbl>
    <w:p w:rsidR="009D06E5" w:rsidRDefault="009D06E5" w:rsidP="003F21F9">
      <w:pPr>
        <w:jc w:val="both"/>
        <w:rPr>
          <w:rFonts w:ascii="Palatino Linotype" w:hAnsi="Palatino Linotype"/>
          <w:sz w:val="19"/>
          <w:szCs w:val="19"/>
          <w:lang w:val="es-ES_tradnl"/>
        </w:rPr>
      </w:pPr>
    </w:p>
    <w:p w:rsidR="009D06E5" w:rsidRDefault="009D06E5" w:rsidP="003F21F9">
      <w:pPr>
        <w:jc w:val="both"/>
        <w:rPr>
          <w:rFonts w:ascii="Palatino Linotype" w:hAnsi="Palatino Linotype"/>
          <w:sz w:val="19"/>
          <w:szCs w:val="19"/>
          <w:lang w:val="es-ES_tradnl"/>
        </w:rPr>
      </w:pPr>
    </w:p>
    <w:p w:rsidR="009D06E5" w:rsidRDefault="009D06E5" w:rsidP="003F21F9">
      <w:pPr>
        <w:jc w:val="both"/>
        <w:rPr>
          <w:rFonts w:ascii="Palatino Linotype" w:hAnsi="Palatino Linotype"/>
          <w:sz w:val="19"/>
          <w:szCs w:val="19"/>
          <w:lang w:val="es-ES_tradnl"/>
        </w:rPr>
      </w:pPr>
    </w:p>
    <w:p w:rsidR="003F21F9" w:rsidRPr="003565EB" w:rsidRDefault="003F21F9" w:rsidP="003F21F9">
      <w:pPr>
        <w:jc w:val="both"/>
        <w:rPr>
          <w:rFonts w:ascii="Palatino Linotype" w:hAnsi="Palatino Linotype"/>
          <w:sz w:val="19"/>
          <w:szCs w:val="19"/>
          <w:lang w:val="es-ES_tradnl"/>
        </w:rPr>
      </w:pPr>
      <w:r w:rsidRPr="003565EB">
        <w:rPr>
          <w:rFonts w:ascii="Palatino Linotype" w:hAnsi="Palatino Linotype"/>
          <w:sz w:val="19"/>
          <w:szCs w:val="19"/>
          <w:lang w:val="es-ES_tradnl"/>
        </w:rPr>
        <w:t xml:space="preserve">Esta hoja corresponde a la resolución de fecha </w:t>
      </w:r>
      <w:r w:rsidR="00D20ABE" w:rsidRPr="003565EB">
        <w:rPr>
          <w:rFonts w:ascii="Palatino Linotype" w:hAnsi="Palatino Linotype"/>
          <w:sz w:val="19"/>
          <w:szCs w:val="19"/>
          <w:lang w:val="es-ES_tradnl"/>
        </w:rPr>
        <w:t xml:space="preserve">diez de abril de </w:t>
      </w:r>
      <w:r w:rsidRPr="003565EB">
        <w:rPr>
          <w:rFonts w:ascii="Palatino Linotype" w:hAnsi="Palatino Linotype"/>
          <w:sz w:val="19"/>
          <w:szCs w:val="19"/>
          <w:lang w:val="es-ES_tradnl"/>
        </w:rPr>
        <w:t xml:space="preserve">dos mil diecinueve, emitida en el recurso de revisión número </w:t>
      </w:r>
      <w:r w:rsidR="00D20ABE" w:rsidRPr="003565EB">
        <w:rPr>
          <w:rFonts w:ascii="Palatino Linotype" w:hAnsi="Palatino Linotype"/>
          <w:sz w:val="19"/>
          <w:szCs w:val="19"/>
          <w:lang w:val="es-ES_tradnl"/>
        </w:rPr>
        <w:t>00822</w:t>
      </w:r>
      <w:r w:rsidRPr="003565EB">
        <w:rPr>
          <w:rFonts w:ascii="Palatino Linotype" w:hAnsi="Palatino Linotype"/>
          <w:sz w:val="19"/>
          <w:szCs w:val="19"/>
          <w:lang w:val="es-ES_tradnl"/>
        </w:rPr>
        <w:t>/INFOEM/IP/RR/2019.</w:t>
      </w:r>
    </w:p>
    <w:p w:rsidR="003F21F9" w:rsidRPr="003565EB" w:rsidRDefault="003F21F9" w:rsidP="003F21F9">
      <w:pPr>
        <w:jc w:val="both"/>
        <w:rPr>
          <w:rFonts w:ascii="Palatino Linotype" w:hAnsi="Palatino Linotype"/>
          <w:sz w:val="19"/>
          <w:szCs w:val="19"/>
          <w:lang w:val="es-ES_tradnl"/>
        </w:rPr>
      </w:pPr>
    </w:p>
    <w:p w:rsidR="00A12C4A" w:rsidRPr="003565EB" w:rsidRDefault="00D20ABE" w:rsidP="00D20ABE">
      <w:pPr>
        <w:tabs>
          <w:tab w:val="center" w:pos="4560"/>
        </w:tabs>
        <w:jc w:val="both"/>
      </w:pPr>
      <w:r w:rsidRPr="003565EB">
        <w:rPr>
          <w:rFonts w:ascii="Palatino Linotype" w:hAnsi="Palatino Linotype"/>
          <w:sz w:val="19"/>
          <w:szCs w:val="19"/>
          <w:lang w:val="es-ES_tradnl"/>
        </w:rPr>
        <w:t>ATU</w:t>
      </w:r>
      <w:r w:rsidR="003F21F9" w:rsidRPr="003565EB">
        <w:rPr>
          <w:rFonts w:ascii="Palatino Linotype" w:hAnsi="Palatino Linotype"/>
          <w:sz w:val="19"/>
          <w:szCs w:val="19"/>
          <w:lang w:val="es-ES_tradnl"/>
        </w:rPr>
        <w:t>/AMV</w:t>
      </w:r>
    </w:p>
    <w:sectPr w:rsidR="00A12C4A" w:rsidRPr="003565EB" w:rsidSect="00857D5B">
      <w:headerReference w:type="default" r:id="rId22"/>
      <w:footerReference w:type="default" r:id="rId23"/>
      <w:headerReference w:type="first" r:id="rId24"/>
      <w:footerReference w:type="first" r:id="rId25"/>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4F3" w:rsidRDefault="007604F3" w:rsidP="003F21F9">
      <w:r>
        <w:separator/>
      </w:r>
    </w:p>
  </w:endnote>
  <w:endnote w:type="continuationSeparator" w:id="0">
    <w:p w:rsidR="007604F3" w:rsidRDefault="007604F3" w:rsidP="003F2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7E0" w:rsidRPr="00A54CF4" w:rsidRDefault="00BC77E0" w:rsidP="00857D5B">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8456E">
      <w:rPr>
        <w:rFonts w:ascii="Palatino Linotype" w:hAnsi="Palatino Linotype" w:cs="Arial"/>
        <w:b/>
        <w:bCs/>
        <w:noProof/>
        <w:sz w:val="20"/>
        <w:szCs w:val="20"/>
      </w:rPr>
      <w:t>14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8456E">
      <w:rPr>
        <w:rFonts w:ascii="Palatino Linotype" w:hAnsi="Palatino Linotype" w:cs="Arial"/>
        <w:b/>
        <w:bCs/>
        <w:noProof/>
        <w:sz w:val="20"/>
        <w:szCs w:val="20"/>
      </w:rPr>
      <w:t>48</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7E0" w:rsidRPr="00F12350" w:rsidRDefault="00BC77E0" w:rsidP="00857D5B">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8456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8456E">
      <w:rPr>
        <w:rFonts w:ascii="Palatino Linotype" w:hAnsi="Palatino Linotype" w:cs="Arial"/>
        <w:b/>
        <w:bCs/>
        <w:noProof/>
        <w:sz w:val="20"/>
        <w:szCs w:val="20"/>
      </w:rPr>
      <w:t>22</w:t>
    </w:r>
    <w:r w:rsidRPr="00F12350">
      <w:rPr>
        <w:rFonts w:ascii="Palatino Linotype" w:hAnsi="Palatino Linotype" w:cs="Arial"/>
        <w:b/>
        <w:bCs/>
        <w:sz w:val="20"/>
        <w:szCs w:val="20"/>
      </w:rPr>
      <w:fldChar w:fldCharType="end"/>
    </w:r>
  </w:p>
  <w:p w:rsidR="00BC77E0" w:rsidRDefault="00BC77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4F3" w:rsidRDefault="007604F3" w:rsidP="003F21F9">
      <w:r>
        <w:separator/>
      </w:r>
    </w:p>
  </w:footnote>
  <w:footnote w:type="continuationSeparator" w:id="0">
    <w:p w:rsidR="007604F3" w:rsidRDefault="007604F3" w:rsidP="003F21F9">
      <w:r>
        <w:continuationSeparator/>
      </w:r>
    </w:p>
  </w:footnote>
  <w:footnote w:id="1">
    <w:p w:rsidR="008D0F92" w:rsidRPr="005800B6" w:rsidRDefault="008D0F92" w:rsidP="008D0F92">
      <w:pPr>
        <w:pStyle w:val="Textonotapie"/>
        <w:jc w:val="both"/>
        <w:rPr>
          <w:rFonts w:ascii="Palatino Linotype" w:hAnsi="Palatino Linotype"/>
          <w:sz w:val="16"/>
          <w:szCs w:val="16"/>
        </w:rPr>
      </w:pPr>
      <w:r w:rsidRPr="005800B6">
        <w:rPr>
          <w:rStyle w:val="Refdenotaalpie"/>
        </w:rPr>
        <w:footnoteRef/>
      </w:r>
      <w:r w:rsidRPr="005800B6">
        <w:t xml:space="preserve"> </w:t>
      </w:r>
      <w:r w:rsidRPr="005800B6">
        <w:rPr>
          <w:rFonts w:ascii="Palatino Linotype" w:hAnsi="Palatino Linotype"/>
          <w:sz w:val="16"/>
          <w:szCs w:val="16"/>
        </w:rPr>
        <w:t xml:space="preserve">Respecto a dicha manifestación, la Ponencia Resolutora considera necesario precisar que la solicitante requirió básicamente </w:t>
      </w:r>
      <w:r w:rsidR="00A17446" w:rsidRPr="005800B6">
        <w:rPr>
          <w:rFonts w:ascii="Palatino Linotype" w:hAnsi="Palatino Linotype"/>
          <w:sz w:val="16"/>
          <w:szCs w:val="16"/>
        </w:rPr>
        <w:t xml:space="preserve">se le indicara donde podía </w:t>
      </w:r>
      <w:r w:rsidRPr="005800B6">
        <w:rPr>
          <w:rFonts w:ascii="Palatino Linotype" w:hAnsi="Palatino Linotype"/>
          <w:sz w:val="16"/>
          <w:szCs w:val="16"/>
        </w:rPr>
        <w:t>consultar las actas de entrega-recepción de las dependencias del Ayuntamiento; sin embargo,</w:t>
      </w:r>
      <w:r w:rsidRPr="005800B6">
        <w:rPr>
          <w:rFonts w:ascii="Palatino Linotype" w:hAnsi="Palatino Linotype"/>
          <w:b/>
          <w:sz w:val="16"/>
          <w:szCs w:val="16"/>
        </w:rPr>
        <w:t xml:space="preserve"> </w:t>
      </w:r>
      <w:r w:rsidRPr="005800B6">
        <w:rPr>
          <w:rFonts w:ascii="Palatino Linotype" w:hAnsi="Palatino Linotype"/>
          <w:sz w:val="16"/>
          <w:szCs w:val="16"/>
        </w:rPr>
        <w:t xml:space="preserve">se determina suplir la deficiencia presentada en la solicitud de información en términos de los artículos 13 y 181, párrafo cuarto de la Ley de la materia y precisar que </w:t>
      </w:r>
      <w:r w:rsidRPr="005800B6">
        <w:rPr>
          <w:rFonts w:ascii="Palatino Linotype" w:hAnsi="Palatino Linotype"/>
          <w:b/>
          <w:sz w:val="16"/>
          <w:szCs w:val="16"/>
        </w:rPr>
        <w:t xml:space="preserve">EL SUJETO OBLIGADO </w:t>
      </w:r>
      <w:r w:rsidRPr="005800B6">
        <w:rPr>
          <w:rFonts w:ascii="Palatino Linotype" w:hAnsi="Palatino Linotype"/>
          <w:sz w:val="16"/>
          <w:szCs w:val="16"/>
        </w:rPr>
        <w:t xml:space="preserve">deberá hacer entrega a </w:t>
      </w:r>
      <w:r w:rsidRPr="005800B6">
        <w:rPr>
          <w:rFonts w:ascii="Palatino Linotype" w:hAnsi="Palatino Linotype"/>
          <w:b/>
          <w:sz w:val="16"/>
          <w:szCs w:val="16"/>
        </w:rPr>
        <w:t>LA</w:t>
      </w:r>
      <w:r w:rsidRPr="005800B6">
        <w:rPr>
          <w:rFonts w:ascii="Palatino Linotype" w:hAnsi="Palatino Linotype"/>
          <w:sz w:val="16"/>
          <w:szCs w:val="16"/>
        </w:rPr>
        <w:t xml:space="preserve"> </w:t>
      </w:r>
      <w:r w:rsidRPr="005800B6">
        <w:rPr>
          <w:rFonts w:ascii="Palatino Linotype" w:hAnsi="Palatino Linotype"/>
          <w:b/>
          <w:sz w:val="16"/>
          <w:szCs w:val="16"/>
        </w:rPr>
        <w:t>RECURRENTE</w:t>
      </w:r>
      <w:r w:rsidRPr="005800B6">
        <w:rPr>
          <w:rFonts w:ascii="Palatino Linotype" w:hAnsi="Palatino Linotype"/>
          <w:sz w:val="16"/>
          <w:szCs w:val="16"/>
        </w:rPr>
        <w:t xml:space="preserve"> de las actas de entrega recepción realizadas por las dependencias del Ayuntamiento de Metepec del 1 al 25 de enero de 2019.</w:t>
      </w:r>
    </w:p>
  </w:footnote>
  <w:footnote w:id="2">
    <w:p w:rsidR="00BC77E0" w:rsidRDefault="00BC77E0" w:rsidP="00140BF6">
      <w:pPr>
        <w:pStyle w:val="Textonotapie"/>
        <w:jc w:val="both"/>
      </w:pPr>
      <w:r w:rsidRPr="005800B6">
        <w:rPr>
          <w:rStyle w:val="Refdenotaalpie"/>
        </w:rPr>
        <w:footnoteRef/>
      </w:r>
      <w:r w:rsidRPr="005800B6">
        <w:t xml:space="preserve"> </w:t>
      </w:r>
      <w:r w:rsidRPr="005800B6">
        <w:rPr>
          <w:rFonts w:ascii="Palatino Linotype" w:hAnsi="Palatino Linotype"/>
          <w:sz w:val="16"/>
          <w:szCs w:val="16"/>
        </w:rPr>
        <w:t>Ello en atención a que en la solicitud de información la particular preciso como temporalidad de entrega de la información del 1 de enero a la fecha, es decir, debe entenderse por a la fecha, a la de presentación de la solicitud de información (25 de enero de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0B6" w:rsidRDefault="005800B6"/>
  <w:tbl>
    <w:tblPr>
      <w:tblW w:w="6237" w:type="dxa"/>
      <w:tblInd w:w="2835" w:type="dxa"/>
      <w:tblLayout w:type="fixed"/>
      <w:tblLook w:val="04A0" w:firstRow="1" w:lastRow="0" w:firstColumn="1" w:lastColumn="0" w:noHBand="0" w:noVBand="1"/>
    </w:tblPr>
    <w:tblGrid>
      <w:gridCol w:w="2693"/>
      <w:gridCol w:w="3544"/>
    </w:tblGrid>
    <w:tr w:rsidR="00BC77E0" w:rsidRPr="008A510F" w:rsidTr="00857D5B">
      <w:tc>
        <w:tcPr>
          <w:tcW w:w="2693" w:type="dxa"/>
          <w:shd w:val="clear" w:color="auto" w:fill="auto"/>
          <w:vAlign w:val="center"/>
        </w:tcPr>
        <w:p w:rsidR="00BC77E0" w:rsidRPr="008A510F" w:rsidRDefault="00BC77E0" w:rsidP="00857D5B">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4" w:type="dxa"/>
          <w:shd w:val="clear" w:color="auto" w:fill="auto"/>
          <w:vAlign w:val="center"/>
        </w:tcPr>
        <w:p w:rsidR="00BC77E0" w:rsidRPr="008A510F" w:rsidRDefault="00BC77E0" w:rsidP="003F21F9">
          <w:pPr>
            <w:ind w:right="176"/>
            <w:jc w:val="both"/>
            <w:rPr>
              <w:rFonts w:ascii="Palatino Linotype" w:hAnsi="Palatino Linotype"/>
              <w:b/>
              <w:sz w:val="22"/>
              <w:szCs w:val="22"/>
              <w:lang w:val="es-ES_tradnl"/>
            </w:rPr>
          </w:pPr>
          <w:r>
            <w:rPr>
              <w:rFonts w:ascii="Palatino Linotype" w:hAnsi="Palatino Linotype"/>
              <w:b/>
              <w:sz w:val="22"/>
              <w:szCs w:val="22"/>
              <w:lang w:val="es-ES_tradnl"/>
            </w:rPr>
            <w:t>00822</w:t>
          </w:r>
          <w:r w:rsidRPr="00673A4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BC77E0" w:rsidRPr="008A510F" w:rsidTr="00857D5B">
      <w:trPr>
        <w:trHeight w:val="228"/>
      </w:trPr>
      <w:tc>
        <w:tcPr>
          <w:tcW w:w="2693" w:type="dxa"/>
          <w:shd w:val="clear" w:color="auto" w:fill="auto"/>
          <w:vAlign w:val="center"/>
        </w:tcPr>
        <w:p w:rsidR="00BC77E0" w:rsidRPr="008A510F" w:rsidRDefault="00BC77E0" w:rsidP="00857D5B">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4" w:type="dxa"/>
          <w:shd w:val="clear" w:color="auto" w:fill="auto"/>
          <w:vAlign w:val="center"/>
        </w:tcPr>
        <w:p w:rsidR="00BC77E0" w:rsidRPr="008A510F" w:rsidRDefault="00BC77E0" w:rsidP="003F21F9">
          <w:pPr>
            <w:ind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BC77E0" w:rsidRPr="008A510F" w:rsidTr="00857D5B">
      <w:tc>
        <w:tcPr>
          <w:tcW w:w="2693" w:type="dxa"/>
          <w:shd w:val="clear" w:color="auto" w:fill="auto"/>
          <w:vAlign w:val="center"/>
        </w:tcPr>
        <w:p w:rsidR="00BC77E0" w:rsidRPr="008A510F" w:rsidRDefault="00BC77E0" w:rsidP="00857D5B">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4" w:type="dxa"/>
          <w:shd w:val="clear" w:color="auto" w:fill="auto"/>
          <w:vAlign w:val="center"/>
        </w:tcPr>
        <w:p w:rsidR="00BC77E0" w:rsidRPr="008A510F" w:rsidRDefault="00BC77E0" w:rsidP="00857D5B">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BC77E0" w:rsidRDefault="00BC77E0" w:rsidP="00857D5B">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BC77E0" w:rsidRPr="00C03E4D" w:rsidTr="00857D5B">
      <w:tc>
        <w:tcPr>
          <w:tcW w:w="2551" w:type="dxa"/>
          <w:shd w:val="clear" w:color="auto" w:fill="auto"/>
          <w:vAlign w:val="center"/>
        </w:tcPr>
        <w:p w:rsidR="00BC77E0" w:rsidRPr="00C03E4D" w:rsidRDefault="00BC77E0" w:rsidP="00857D5B">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3402" w:type="dxa"/>
          <w:shd w:val="clear" w:color="auto" w:fill="auto"/>
          <w:vAlign w:val="center"/>
        </w:tcPr>
        <w:p w:rsidR="00BC77E0" w:rsidRPr="00C03E4D" w:rsidRDefault="00BC77E0" w:rsidP="003F21F9">
          <w:pPr>
            <w:jc w:val="both"/>
            <w:rPr>
              <w:rFonts w:ascii="Palatino Linotype" w:hAnsi="Palatino Linotype"/>
              <w:b/>
              <w:sz w:val="22"/>
              <w:szCs w:val="22"/>
              <w:lang w:val="es-ES_tradnl"/>
            </w:rPr>
          </w:pPr>
          <w:r>
            <w:rPr>
              <w:rFonts w:ascii="Palatino Linotype" w:hAnsi="Palatino Linotype"/>
              <w:b/>
              <w:sz w:val="22"/>
              <w:szCs w:val="22"/>
              <w:lang w:val="es-ES_tradnl"/>
            </w:rPr>
            <w:t>00822</w:t>
          </w:r>
          <w:r w:rsidRPr="00673A4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BC77E0" w:rsidRPr="00C03E4D" w:rsidTr="00857D5B">
      <w:tc>
        <w:tcPr>
          <w:tcW w:w="2551" w:type="dxa"/>
          <w:shd w:val="clear" w:color="auto" w:fill="auto"/>
          <w:vAlign w:val="center"/>
        </w:tcPr>
        <w:p w:rsidR="00BC77E0" w:rsidRPr="00C03E4D" w:rsidRDefault="00BC77E0" w:rsidP="00857D5B">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402" w:type="dxa"/>
          <w:shd w:val="clear" w:color="auto" w:fill="auto"/>
          <w:vAlign w:val="center"/>
        </w:tcPr>
        <w:p w:rsidR="00BC77E0" w:rsidRPr="00C03E4D" w:rsidRDefault="00B60B3A" w:rsidP="00B60B3A">
          <w:pPr>
            <w:ind w:right="-108"/>
            <w:jc w:val="both"/>
            <w:rPr>
              <w:rFonts w:ascii="Palatino Linotype" w:hAnsi="Palatino Linotype"/>
              <w:b/>
              <w:sz w:val="22"/>
              <w:szCs w:val="22"/>
              <w:lang w:val="es-ES_tradnl"/>
            </w:rPr>
          </w:pPr>
          <w:r>
            <w:rPr>
              <w:rFonts w:ascii="Palatino Linotype" w:hAnsi="Palatino Linotype"/>
              <w:b/>
              <w:sz w:val="22"/>
              <w:szCs w:val="22"/>
              <w:lang w:val="es-ES_tradnl"/>
            </w:rPr>
            <w:t>XXXXXXX XXXX</w:t>
          </w:r>
          <w:r w:rsidR="00BC77E0">
            <w:rPr>
              <w:rFonts w:ascii="Palatino Linotype" w:hAnsi="Palatino Linotype"/>
              <w:b/>
              <w:sz w:val="22"/>
              <w:szCs w:val="22"/>
              <w:lang w:val="es-ES_tradnl"/>
            </w:rPr>
            <w:t xml:space="preserve"> </w:t>
          </w:r>
        </w:p>
      </w:tc>
    </w:tr>
    <w:tr w:rsidR="00BC77E0" w:rsidRPr="00C03E4D" w:rsidTr="00857D5B">
      <w:trPr>
        <w:trHeight w:val="228"/>
      </w:trPr>
      <w:tc>
        <w:tcPr>
          <w:tcW w:w="2551" w:type="dxa"/>
          <w:shd w:val="clear" w:color="auto" w:fill="auto"/>
          <w:vAlign w:val="center"/>
        </w:tcPr>
        <w:p w:rsidR="00BC77E0" w:rsidRPr="00C03E4D" w:rsidRDefault="00BC77E0" w:rsidP="00857D5B">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402" w:type="dxa"/>
          <w:shd w:val="clear" w:color="auto" w:fill="auto"/>
          <w:vAlign w:val="center"/>
        </w:tcPr>
        <w:p w:rsidR="00BC77E0" w:rsidRPr="00C03E4D" w:rsidRDefault="00BC77E0" w:rsidP="003F21F9">
          <w:pPr>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BC77E0" w:rsidRPr="00C03E4D" w:rsidTr="00857D5B">
      <w:tc>
        <w:tcPr>
          <w:tcW w:w="2551" w:type="dxa"/>
          <w:shd w:val="clear" w:color="auto" w:fill="auto"/>
          <w:vAlign w:val="center"/>
        </w:tcPr>
        <w:p w:rsidR="00BC77E0" w:rsidRPr="00C03E4D" w:rsidRDefault="00BC77E0" w:rsidP="00857D5B">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402" w:type="dxa"/>
          <w:shd w:val="clear" w:color="auto" w:fill="auto"/>
          <w:vAlign w:val="center"/>
        </w:tcPr>
        <w:p w:rsidR="00BC77E0" w:rsidRPr="00C03E4D" w:rsidRDefault="00BC77E0" w:rsidP="00857D5B">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BC77E0" w:rsidRPr="00C03E4D" w:rsidRDefault="00BC77E0">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379D8"/>
    <w:multiLevelType w:val="hybridMultilevel"/>
    <w:tmpl w:val="2D940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3DF4037"/>
    <w:multiLevelType w:val="hybridMultilevel"/>
    <w:tmpl w:val="8286B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63D75D7"/>
    <w:multiLevelType w:val="hybridMultilevel"/>
    <w:tmpl w:val="A1AA7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5395532"/>
    <w:multiLevelType w:val="hybridMultilevel"/>
    <w:tmpl w:val="222421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1F9"/>
    <w:rsid w:val="00081D05"/>
    <w:rsid w:val="000C6D04"/>
    <w:rsid w:val="00140BF6"/>
    <w:rsid w:val="00151292"/>
    <w:rsid w:val="00164353"/>
    <w:rsid w:val="00196B31"/>
    <w:rsid w:val="001B1C92"/>
    <w:rsid w:val="00241845"/>
    <w:rsid w:val="00245B56"/>
    <w:rsid w:val="002948CD"/>
    <w:rsid w:val="00311FE5"/>
    <w:rsid w:val="003565EB"/>
    <w:rsid w:val="00375624"/>
    <w:rsid w:val="0038456E"/>
    <w:rsid w:val="003D64EB"/>
    <w:rsid w:val="003F21F9"/>
    <w:rsid w:val="004E48DB"/>
    <w:rsid w:val="005800B6"/>
    <w:rsid w:val="005B2CC7"/>
    <w:rsid w:val="0066547D"/>
    <w:rsid w:val="00675193"/>
    <w:rsid w:val="006A61F1"/>
    <w:rsid w:val="007604F3"/>
    <w:rsid w:val="00857D5B"/>
    <w:rsid w:val="0089632B"/>
    <w:rsid w:val="008D0F92"/>
    <w:rsid w:val="0092143E"/>
    <w:rsid w:val="009649CA"/>
    <w:rsid w:val="009D06E5"/>
    <w:rsid w:val="00A12C4A"/>
    <w:rsid w:val="00A17446"/>
    <w:rsid w:val="00A46F54"/>
    <w:rsid w:val="00AA458A"/>
    <w:rsid w:val="00B03CC1"/>
    <w:rsid w:val="00B60B3A"/>
    <w:rsid w:val="00B95057"/>
    <w:rsid w:val="00BC77E0"/>
    <w:rsid w:val="00C648CC"/>
    <w:rsid w:val="00CB59E0"/>
    <w:rsid w:val="00D10A1C"/>
    <w:rsid w:val="00D20ABE"/>
    <w:rsid w:val="00E43744"/>
    <w:rsid w:val="00ED15A2"/>
    <w:rsid w:val="00EF16FD"/>
    <w:rsid w:val="00F01865"/>
    <w:rsid w:val="00F25A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AF360D-0414-4EC7-ADE3-6A75DE516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1F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21F9"/>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F21F9"/>
    <w:rPr>
      <w:rFonts w:eastAsiaTheme="minorEastAsia"/>
      <w:sz w:val="24"/>
      <w:szCs w:val="24"/>
      <w:lang w:val="es-ES_tradnl" w:eastAsia="es-ES"/>
    </w:rPr>
  </w:style>
  <w:style w:type="paragraph" w:styleId="Piedepgina">
    <w:name w:val="footer"/>
    <w:basedOn w:val="Normal"/>
    <w:link w:val="PiedepginaCar"/>
    <w:uiPriority w:val="99"/>
    <w:unhideWhenUsed/>
    <w:rsid w:val="003F21F9"/>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F21F9"/>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F21F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F21F9"/>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3F21F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F21F9"/>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F21F9"/>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F21F9"/>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F21F9"/>
    <w:rPr>
      <w:vertAlign w:val="superscript"/>
    </w:rPr>
  </w:style>
  <w:style w:type="character" w:customStyle="1" w:styleId="apple-converted-space">
    <w:name w:val="apple-converted-space"/>
    <w:basedOn w:val="Fuentedeprrafopredeter"/>
    <w:rsid w:val="003F21F9"/>
  </w:style>
  <w:style w:type="character" w:styleId="Hipervnculo">
    <w:name w:val="Hyperlink"/>
    <w:basedOn w:val="Fuentedeprrafopredeter"/>
    <w:uiPriority w:val="99"/>
    <w:unhideWhenUsed/>
    <w:rsid w:val="003F21F9"/>
    <w:rPr>
      <w:color w:val="0000FF"/>
      <w:u w:val="single"/>
    </w:rPr>
  </w:style>
  <w:style w:type="paragraph" w:customStyle="1" w:styleId="Default">
    <w:name w:val="Default"/>
    <w:rsid w:val="003F21F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rsid w:val="003F21F9"/>
    <w:pPr>
      <w:spacing w:before="100" w:beforeAutospacing="1" w:after="100" w:afterAutospacing="1"/>
    </w:pPr>
    <w:rPr>
      <w:lang w:val="es-ES"/>
    </w:rPr>
  </w:style>
  <w:style w:type="paragraph" w:styleId="Textodeglobo">
    <w:name w:val="Balloon Text"/>
    <w:basedOn w:val="Normal"/>
    <w:link w:val="TextodegloboCar"/>
    <w:uiPriority w:val="99"/>
    <w:semiHidden/>
    <w:unhideWhenUsed/>
    <w:rsid w:val="003F21F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21F9"/>
    <w:rPr>
      <w:rFonts w:ascii="Segoe UI" w:eastAsia="Times New Roman" w:hAnsi="Segoe UI" w:cs="Segoe UI"/>
      <w:sz w:val="18"/>
      <w:szCs w:val="18"/>
      <w:lang w:eastAsia="es-ES"/>
    </w:rPr>
  </w:style>
  <w:style w:type="paragraph" w:styleId="Textoindependiente2">
    <w:name w:val="Body Text 2"/>
    <w:basedOn w:val="Normal"/>
    <w:link w:val="Textoindependiente2Car"/>
    <w:uiPriority w:val="99"/>
    <w:unhideWhenUsed/>
    <w:rsid w:val="006A61F1"/>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6A61F1"/>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214236">
      <w:bodyDiv w:val="1"/>
      <w:marLeft w:val="0"/>
      <w:marRight w:val="0"/>
      <w:marTop w:val="0"/>
      <w:marBottom w:val="0"/>
      <w:divBdr>
        <w:top w:val="none" w:sz="0" w:space="0" w:color="auto"/>
        <w:left w:val="none" w:sz="0" w:space="0" w:color="auto"/>
        <w:bottom w:val="none" w:sz="0" w:space="0" w:color="auto"/>
        <w:right w:val="none" w:sz="0" w:space="0" w:color="auto"/>
      </w:divBdr>
    </w:div>
    <w:div w:id="723649838">
      <w:bodyDiv w:val="1"/>
      <w:marLeft w:val="0"/>
      <w:marRight w:val="0"/>
      <w:marTop w:val="0"/>
      <w:marBottom w:val="0"/>
      <w:divBdr>
        <w:top w:val="none" w:sz="0" w:space="0" w:color="auto"/>
        <w:left w:val="none" w:sz="0" w:space="0" w:color="auto"/>
        <w:bottom w:val="none" w:sz="0" w:space="0" w:color="auto"/>
        <w:right w:val="none" w:sz="0" w:space="0" w:color="auto"/>
      </w:divBdr>
    </w:div>
    <w:div w:id="75447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41346.p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www.saimex.org.mx/saimex/solicitud/downloadAttach/641345.pag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654896.page"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8BA46-6EFF-4380-AA51-53ED2C070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48</Pages>
  <Words>12097</Words>
  <Characters>66536</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TARANGO</dc:creator>
  <cp:keywords/>
  <dc:description/>
  <cp:lastModifiedBy>USUARIO</cp:lastModifiedBy>
  <cp:revision>11</cp:revision>
  <cp:lastPrinted>2019-04-04T17:52:00Z</cp:lastPrinted>
  <dcterms:created xsi:type="dcterms:W3CDTF">2019-03-30T23:20:00Z</dcterms:created>
  <dcterms:modified xsi:type="dcterms:W3CDTF">2019-08-05T21:11:00Z</dcterms:modified>
</cp:coreProperties>
</file>